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r>
        <w:rPr>
          <w:rFonts w:hint="eastAsia" w:ascii="黑体" w:hAnsi="黑体" w:eastAsia="黑体" w:cs="黑体"/>
          <w:b w:val="0"/>
          <w:bCs w:val="0"/>
          <w:sz w:val="56"/>
          <w:szCs w:val="56"/>
        </w:rPr>
        <w:drawing>
          <wp:anchor distT="0" distB="0" distL="114300" distR="114300" simplePos="0" relativeHeight="251661312" behindDoc="1" locked="0" layoutInCell="1" allowOverlap="1">
            <wp:simplePos x="0" y="0"/>
            <wp:positionH relativeFrom="column">
              <wp:posOffset>-1000760</wp:posOffset>
            </wp:positionH>
            <wp:positionV relativeFrom="paragraph">
              <wp:posOffset>-1065530</wp:posOffset>
            </wp:positionV>
            <wp:extent cx="7634605" cy="10696575"/>
            <wp:effectExtent l="0" t="0" r="635" b="1905"/>
            <wp:wrapNone/>
            <wp:docPr id="32" name="图片 32"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封面"/>
                    <pic:cNvPicPr>
                      <a:picLocks noChangeAspect="1"/>
                    </pic:cNvPicPr>
                  </pic:nvPicPr>
                  <pic:blipFill>
                    <a:blip r:embed="rId17"/>
                    <a:stretch>
                      <a:fillRect/>
                    </a:stretch>
                  </pic:blipFill>
                  <pic:spPr>
                    <a:xfrm>
                      <a:off x="0" y="0"/>
                      <a:ext cx="7634605" cy="10696575"/>
                    </a:xfrm>
                    <a:prstGeom prst="rect">
                      <a:avLst/>
                    </a:prstGeom>
                  </pic:spPr>
                </pic:pic>
              </a:graphicData>
            </a:graphic>
          </wp:anchor>
        </w:drawing>
      </w:r>
    </w:p>
    <w:p>
      <w:pPr>
        <w:pStyle w:val="23"/>
        <w:spacing w:before="0" w:beforeAutospacing="0" w:after="0" w:afterAutospacing="0" w:line="1095" w:lineRule="atLeast"/>
        <w:jc w:val="center"/>
        <w:rPr>
          <w:rFonts w:hint="eastAsia" w:ascii="黑体" w:hAnsi="黑体" w:eastAsia="黑体" w:cs="黑体"/>
          <w:b w:val="0"/>
          <w:bCs w:val="0"/>
          <w:sz w:val="56"/>
          <w:szCs w:val="56"/>
        </w:rPr>
        <w:sectPr>
          <w:headerReference r:id="rId4" w:type="first"/>
          <w:footerReference r:id="rId6" w:type="first"/>
          <w:headerReference r:id="rId3" w:type="default"/>
          <w:footerReference r:id="rId5" w:type="default"/>
          <w:pgSz w:w="11906" w:h="16838"/>
          <w:pgMar w:top="1440" w:right="1587" w:bottom="1440" w:left="158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r>
        <w:drawing>
          <wp:anchor distT="0" distB="0" distL="114300" distR="114300" simplePos="0" relativeHeight="251662336" behindDoc="0" locked="0" layoutInCell="1" allowOverlap="1">
            <wp:simplePos x="0" y="0"/>
            <wp:positionH relativeFrom="column">
              <wp:posOffset>534035</wp:posOffset>
            </wp:positionH>
            <wp:positionV relativeFrom="paragraph">
              <wp:posOffset>508635</wp:posOffset>
            </wp:positionV>
            <wp:extent cx="922020" cy="941070"/>
            <wp:effectExtent l="0" t="0" r="7620" b="3810"/>
            <wp:wrapSquare wrapText="bothSides"/>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8"/>
                    <a:stretch>
                      <a:fillRect/>
                    </a:stretch>
                  </pic:blipFill>
                  <pic:spPr>
                    <a:xfrm>
                      <a:off x="0" y="0"/>
                      <a:ext cx="922020" cy="941070"/>
                    </a:xfrm>
                    <a:prstGeom prst="ellipse">
                      <a:avLst/>
                    </a:prstGeom>
                    <a:noFill/>
                    <a:ln>
                      <a:noFill/>
                    </a:ln>
                  </pic:spPr>
                </pic:pic>
              </a:graphicData>
            </a:graphic>
          </wp:anchor>
        </w:drawing>
      </w:r>
      <w:r>
        <w:rPr>
          <w:sz w:val="24"/>
        </w:rPr>
        <mc:AlternateContent>
          <mc:Choice Requires="wps">
            <w:drawing>
              <wp:anchor distT="0" distB="0" distL="114300" distR="114300" simplePos="0" relativeHeight="251665408" behindDoc="0" locked="0" layoutInCell="1" allowOverlap="1">
                <wp:simplePos x="0" y="0"/>
                <wp:positionH relativeFrom="column">
                  <wp:posOffset>1484630</wp:posOffset>
                </wp:positionH>
                <wp:positionV relativeFrom="paragraph">
                  <wp:posOffset>7285355</wp:posOffset>
                </wp:positionV>
                <wp:extent cx="2865120" cy="472440"/>
                <wp:effectExtent l="0" t="0" r="0" b="0"/>
                <wp:wrapNone/>
                <wp:docPr id="36" name="文本框 36"/>
                <wp:cNvGraphicFramePr/>
                <a:graphic xmlns:a="http://schemas.openxmlformats.org/drawingml/2006/main">
                  <a:graphicData uri="http://schemas.microsoft.com/office/word/2010/wordprocessingShape">
                    <wps:wsp>
                      <wps:cNvSpPr txBox="1"/>
                      <wps:spPr>
                        <a:xfrm>
                          <a:off x="2492375" y="8397875"/>
                          <a:ext cx="2865120" cy="472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bCs/>
                                <w:sz w:val="28"/>
                                <w:szCs w:val="28"/>
                                <w:lang w:val="en-US" w:eastAsia="zh-CN"/>
                              </w:rPr>
                            </w:pPr>
                            <w:r>
                              <w:rPr>
                                <w:rFonts w:hint="default"/>
                                <w:b/>
                                <w:bCs/>
                                <w:sz w:val="28"/>
                                <w:szCs w:val="28"/>
                                <w:lang w:val="en-US"/>
                              </w:rPr>
                              <w:t>202</w:t>
                            </w:r>
                            <w:r>
                              <w:rPr>
                                <w:rFonts w:hint="eastAsia"/>
                                <w:b/>
                                <w:bCs/>
                                <w:sz w:val="28"/>
                                <w:szCs w:val="28"/>
                                <w:lang w:val="en-US" w:eastAsia="zh-CN"/>
                              </w:rPr>
                              <w:t>4年</w:t>
                            </w:r>
                            <w:r>
                              <w:rPr>
                                <w:rFonts w:hint="default"/>
                                <w:b/>
                                <w:bCs/>
                                <w:sz w:val="28"/>
                                <w:szCs w:val="28"/>
                                <w:lang w:val="en-US" w:eastAsia="zh-CN"/>
                              </w:rPr>
                              <w:t>12</w:t>
                            </w:r>
                            <w:r>
                              <w:rPr>
                                <w:rFonts w:hint="eastAsia"/>
                                <w:b/>
                                <w:bCs/>
                                <w:sz w:val="28"/>
                                <w:szCs w:val="28"/>
                                <w:lang w:val="en-US" w:eastAsia="zh-CN"/>
                              </w:rPr>
                              <w:t>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9pt;margin-top:573.65pt;height:37.2pt;width:225.6pt;z-index:251665408;mso-width-relative:page;mso-height-relative:page;" filled="f" stroked="f" coordsize="21600,21600" o:gfxdata="UEsDBAoAAAAAAIdO4kAAAAAAAAAAAAAAAAAEAAAAZHJzL1BLAwQUAAAACACHTuJA1HalpdwAAAAN&#10;AQAADwAAAGRycy9kb3ducmV2LnhtbE2PS0/DMBCE70j8B2uRuFEnDm2jEKdCkSokBIeWXrg58TaJ&#10;8CPE7vPXs5zguDOj2W/K1dkadsQpDN5JSGcJMHSt14PrJOw+1g85sBCV08p4hxIuGGBV3d6UqtD+&#10;5DZ43MaOUYkLhZLQxzgWnIe2R6vCzI/oyNv7yapI59RxPakTlVvDRZIsuFWDow+9GrHusf3aHqyE&#10;13r9rjaNsPnV1C9v++fxe/c5l/L+Lk2egEU8x78w/OITOlTE1PiD04EZCSLLCD2SkT4uM2AUWeRz&#10;mteQJES6BF6V/P+K6gdQSwMEFAAAAAgAh07iQG+HzldIAgAAdAQAAA4AAABkcnMvZTJvRG9jLnht&#10;bK1UzY7TMBC+I/EOlu80/f9T01XZqgipYlcqiLPrOE0k22Nst0l5AHgDTly481x9DsZO260WDnvg&#10;4ow942/8fTOT2V2tJDkI60rQKe202pQIzSEr9S6lnz6u3owpcZ7pjEnQIqVH4ejd/PWrWWWmogsF&#10;yExYgiDaTSuT0sJ7M00SxwuhmGuBERqdOVjFPG7tLsksqxBdyaTbbg+TCmxmLHDhHJ4uGyc9I9qX&#10;AEKel1wsge+V0L5BtUIyj5RcURpH5/G1eS64f8hzJzyRKUWmPq6YBO1tWJP5jE13lpmi5OcnsJc8&#10;4RknxUqNSa9QS+YZ2dvyLyhVcgsOct/ioJKGSFQEWXTaz7TZFMyIyAWlduYquvt/sPzD4dGSMktp&#10;b0iJZgorfvrx/fTz9+nXN4JnKFBl3BTjNgYjff0Wamyby7nDw8C7zq0KX2RE0N/tT7q90YCSY0rH&#10;vclojHaUWtSe8BAwHg46XawCx4j+qNvvx1okT0jGOv9OgCLBSKnFUkaF2WHtPGJh6CUkJNawKqWM&#10;OaQmVUqHvUE7Xrh68IbUeDHwad4dLF9v6zPJLWRH5GihaRNn+KrE5Gvm/COz2Bf4Xpwc/4BLLgGT&#10;wNmipAD79V/nIR7LhV5KKuyzlLove2YFJfK9xkJOOoE68XHTH4yCJvbWs7316L26B2zlDs6o4dEM&#10;8V5ezNyC+owDtghZ0cU0x9wp9Rfz3jfdjwPKxWIRg7AVDfNrvTE8QDdyLvYe8jIqHWRqtDmrh80Y&#10;C3AenNDtt/sY9fSzmP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1HalpdwAAAANAQAADwAAAAAA&#10;AAABACAAAAAiAAAAZHJzL2Rvd25yZXYueG1sUEsBAhQAFAAAAAgAh07iQG+HzldIAgAAdAQAAA4A&#10;AAAAAAAAAQAgAAAAKwEAAGRycy9lMm9Eb2MueG1sUEsFBgAAAAAGAAYAWQEAAOUFAAAAAA==&#10;">
                <v:fill on="f" focussize="0,0"/>
                <v:stroke on="f" weight="0.5pt"/>
                <v:imagedata o:title=""/>
                <o:lock v:ext="edit" aspectratio="f"/>
                <v:textbox>
                  <w:txbxContent>
                    <w:p>
                      <w:pPr>
                        <w:jc w:val="center"/>
                        <w:rPr>
                          <w:rFonts w:hint="default" w:eastAsia="宋体"/>
                          <w:b/>
                          <w:bCs/>
                          <w:sz w:val="28"/>
                          <w:szCs w:val="28"/>
                          <w:lang w:val="en-US" w:eastAsia="zh-CN"/>
                        </w:rPr>
                      </w:pPr>
                      <w:r>
                        <w:rPr>
                          <w:rFonts w:hint="default"/>
                          <w:b/>
                          <w:bCs/>
                          <w:sz w:val="28"/>
                          <w:szCs w:val="28"/>
                          <w:lang w:val="en-US"/>
                        </w:rPr>
                        <w:t>202</w:t>
                      </w:r>
                      <w:r>
                        <w:rPr>
                          <w:rFonts w:hint="eastAsia"/>
                          <w:b/>
                          <w:bCs/>
                          <w:sz w:val="28"/>
                          <w:szCs w:val="28"/>
                          <w:lang w:val="en-US" w:eastAsia="zh-CN"/>
                        </w:rPr>
                        <w:t>4年</w:t>
                      </w:r>
                      <w:r>
                        <w:rPr>
                          <w:rFonts w:hint="default"/>
                          <w:b/>
                          <w:bCs/>
                          <w:sz w:val="28"/>
                          <w:szCs w:val="28"/>
                          <w:lang w:val="en-US" w:eastAsia="zh-CN"/>
                        </w:rPr>
                        <w:t>12</w:t>
                      </w:r>
                      <w:r>
                        <w:rPr>
                          <w:rFonts w:hint="eastAsia"/>
                          <w:b/>
                          <w:bCs/>
                          <w:sz w:val="28"/>
                          <w:szCs w:val="28"/>
                          <w:lang w:val="en-US" w:eastAsia="zh-CN"/>
                        </w:rPr>
                        <w:t>月</w:t>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913130</wp:posOffset>
                </wp:positionH>
                <wp:positionV relativeFrom="paragraph">
                  <wp:posOffset>2685415</wp:posOffset>
                </wp:positionV>
                <wp:extent cx="4206240" cy="1637665"/>
                <wp:effectExtent l="0" t="0" r="0" b="0"/>
                <wp:wrapNone/>
                <wp:docPr id="35" name="文本框 35"/>
                <wp:cNvGraphicFramePr/>
                <a:graphic xmlns:a="http://schemas.openxmlformats.org/drawingml/2006/main">
                  <a:graphicData uri="http://schemas.microsoft.com/office/word/2010/wordprocessingShape">
                    <wps:wsp>
                      <wps:cNvSpPr txBox="1"/>
                      <wps:spPr>
                        <a:xfrm>
                          <a:off x="1920875" y="3797935"/>
                          <a:ext cx="4206240" cy="16376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52"/>
                                <w:szCs w:val="52"/>
                                <w:lang w:val="en-US" w:eastAsia="zh-CN"/>
                              </w:rPr>
                            </w:pPr>
                            <w:r>
                              <w:rPr>
                                <w:rFonts w:hint="eastAsia"/>
                                <w:sz w:val="52"/>
                                <w:szCs w:val="52"/>
                                <w:lang w:val="en-US" w:eastAsia="zh-CN"/>
                              </w:rPr>
                              <w:t>中等职业教育年度质量报告</w:t>
                            </w:r>
                          </w:p>
                          <w:p>
                            <w:pPr>
                              <w:pStyle w:val="2"/>
                              <w:jc w:val="center"/>
                              <w:rPr>
                                <w:rFonts w:hint="default"/>
                                <w:lang w:val="en-US" w:eastAsia="zh-CN"/>
                              </w:rPr>
                            </w:pPr>
                            <w:r>
                              <w:rPr>
                                <w:rFonts w:hint="eastAsia"/>
                                <w:sz w:val="52"/>
                                <w:szCs w:val="52"/>
                                <w:lang w:val="en-US" w:eastAsia="zh-CN"/>
                              </w:rPr>
                              <w:t>（</w:t>
                            </w:r>
                            <w:r>
                              <w:rPr>
                                <w:rFonts w:hint="default"/>
                                <w:sz w:val="52"/>
                                <w:szCs w:val="52"/>
                                <w:lang w:val="en-US" w:eastAsia="zh-CN"/>
                              </w:rPr>
                              <w:t>202</w:t>
                            </w:r>
                            <w:r>
                              <w:rPr>
                                <w:rFonts w:hint="eastAsia"/>
                                <w:sz w:val="52"/>
                                <w:szCs w:val="52"/>
                                <w:lang w:val="en-US" w:eastAsia="zh-CN"/>
                              </w:rPr>
                              <w:t>4年）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9pt;margin-top:211.45pt;height:128.95pt;width:331.2pt;z-index:251664384;mso-width-relative:page;mso-height-relative:page;" filled="f" stroked="f" coordsize="21600,21600" o:gfxdata="UEsDBAoAAAAAAIdO4kAAAAAAAAAAAAAAAAAEAAAAZHJzL1BLAwQUAAAACACHTuJAcxTOSdsAAAAL&#10;AQAADwAAAGRycy9kb3ducmV2LnhtbE2Py07DMBRE90j8g3WR2FG7oURuGqdCkSokBIuWbtjdxG4S&#10;4UeI3Qd8PZcVLEczmjlTri/OspOZ4hC8gvlMADO+DXrwnYL92+ZOAosJvUYbvFHwZSKsq+urEgsd&#10;zn5rTrvUMSrxsUAFfUpjwXlse+MwzsJoPHmHMDlMJKeO6wnPVO4sz4TIucPB00KPo6l7037sjk7B&#10;c715xW2TOflt66eXw+P4uX9/UOr2Zi5WwJK5pL8w/OITOlTE1ISj15FZ0ot7Qk8KFlm2BEYJKfIM&#10;WKMgl0ICr0r+/0P1A1BLAwQUAAAACACHTuJABvFrjEoCAAB1BAAADgAAAGRycy9lMm9Eb2MueG1s&#10;rVRLbtswEN0X6B0I7hvJjj+xETlwY6QoEDQB3KJrmqIiAfyVpCOlB2hv0FU33fdcPkcfKdsJ0i6y&#10;6IYacoZv5r0Z6vyiU5LcC+cbows6OMkpEZqbstF3Bf308erNGSU+MF0yabQo6IPw9GLx+tV5a+di&#10;aGojS+EIQLSft7agdQh2nmWe10Ixf2Ks0HBWxikWsHV3WelYC3Qls2GeT7LWuNI6w4X3OF31TrpH&#10;dC8BNFXVcLEyfKuEDj2qE5IFUPJ1Yz1dpGqrSvBwU1VeBCILCqYhrUgCexPXbHHO5neO2brh+xLY&#10;S0p4xkmxRiPpEWrFAiNb1/wFpRrujDdVOOFGZT2RpAhYDPJn2qxrZkXiAqm9PYru/x8s/3B/60hT&#10;FvR0TIlmCh3f/fi++/l79+sbwRkEaq2fI25tERm6t6bD2BzOPQ4j765yKn7BiET/bJifTYH4AODp&#10;bDrrkdhcdIFwBIyG+WQ4Qhc4IgaT0+lkknJlj1DW+fBOGEWiUVCHXiaJ2f21DygLoYeQmFmbq0bK&#10;1E+pSVvQyek4TxeOHtyQGhcjob7waIVu0+1Zbkz5AJLO9HPiLb9qkPya+XDLHAYDBePphBsslTRI&#10;YvYWJbVxX/91HuPRL3gpaTFoBfVftswJSuR7jU7OBqOoQ0ib0Xg6xMY99WyeevRWXRrM8gCP1PJk&#10;xvggD2bljPqMF7aMWeFimiN3QcPBvAz9+OOFcrFcpiDMomXhWq8tj9C9nMttMFWTlI4y9drs1cM0&#10;pgbsX04c96f7FPX4t1j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MUzknbAAAACwEAAA8AAAAA&#10;AAAAAQAgAAAAIgAAAGRycy9kb3ducmV2LnhtbFBLAQIUABQAAAAIAIdO4kAG8WuMSgIAAHUEAAAO&#10;AAAAAAAAAAEAIAAAACoBAABkcnMvZTJvRG9jLnhtbFBLBQYAAAAABgAGAFkBAADmBQAAAAA=&#10;">
                <v:fill on="f" focussize="0,0"/>
                <v:stroke on="f" weight="0.5pt"/>
                <v:imagedata o:title=""/>
                <o:lock v:ext="edit" aspectratio="f"/>
                <v:textbox>
                  <w:txbxContent>
                    <w:p>
                      <w:pPr>
                        <w:rPr>
                          <w:rFonts w:hint="eastAsia"/>
                          <w:sz w:val="52"/>
                          <w:szCs w:val="52"/>
                          <w:lang w:val="en-US" w:eastAsia="zh-CN"/>
                        </w:rPr>
                      </w:pPr>
                      <w:r>
                        <w:rPr>
                          <w:rFonts w:hint="eastAsia"/>
                          <w:sz w:val="52"/>
                          <w:szCs w:val="52"/>
                          <w:lang w:val="en-US" w:eastAsia="zh-CN"/>
                        </w:rPr>
                        <w:t>中等职业教育年度质量报告</w:t>
                      </w:r>
                    </w:p>
                    <w:p>
                      <w:pPr>
                        <w:pStyle w:val="2"/>
                        <w:jc w:val="center"/>
                        <w:rPr>
                          <w:rFonts w:hint="default"/>
                          <w:lang w:val="en-US" w:eastAsia="zh-CN"/>
                        </w:rPr>
                      </w:pPr>
                      <w:r>
                        <w:rPr>
                          <w:rFonts w:hint="eastAsia"/>
                          <w:sz w:val="52"/>
                          <w:szCs w:val="52"/>
                          <w:lang w:val="en-US" w:eastAsia="zh-CN"/>
                        </w:rPr>
                        <w:t>（</w:t>
                      </w:r>
                      <w:r>
                        <w:rPr>
                          <w:rFonts w:hint="default"/>
                          <w:sz w:val="52"/>
                          <w:szCs w:val="52"/>
                          <w:lang w:val="en-US" w:eastAsia="zh-CN"/>
                        </w:rPr>
                        <w:t>202</w:t>
                      </w:r>
                      <w:r>
                        <w:rPr>
                          <w:rFonts w:hint="eastAsia"/>
                          <w:sz w:val="52"/>
                          <w:szCs w:val="52"/>
                          <w:lang w:val="en-US" w:eastAsia="zh-CN"/>
                        </w:rPr>
                        <w:t>4年）</w:t>
                      </w:r>
                    </w:p>
                  </w:txbxContent>
                </v:textbox>
              </v:shape>
            </w:pict>
          </mc:Fallback>
        </mc:AlternateContent>
      </w:r>
      <w:r>
        <w:rPr>
          <w:sz w:val="56"/>
        </w:rPr>
        <mc:AlternateContent>
          <mc:Choice Requires="wps">
            <w:drawing>
              <wp:anchor distT="0" distB="0" distL="114300" distR="114300" simplePos="0" relativeHeight="251663360" behindDoc="0" locked="0" layoutInCell="1" allowOverlap="1">
                <wp:simplePos x="0" y="0"/>
                <wp:positionH relativeFrom="column">
                  <wp:posOffset>1545590</wp:posOffset>
                </wp:positionH>
                <wp:positionV relativeFrom="paragraph">
                  <wp:posOffset>605155</wp:posOffset>
                </wp:positionV>
                <wp:extent cx="3444240" cy="1127125"/>
                <wp:effectExtent l="0" t="0" r="0" b="0"/>
                <wp:wrapNone/>
                <wp:docPr id="34" name="文本框 34"/>
                <wp:cNvGraphicFramePr/>
                <a:graphic xmlns:a="http://schemas.openxmlformats.org/drawingml/2006/main">
                  <a:graphicData uri="http://schemas.microsoft.com/office/word/2010/wordprocessingShape">
                    <wps:wsp>
                      <wps:cNvSpPr txBox="1"/>
                      <wps:spPr>
                        <a:xfrm>
                          <a:off x="2614295" y="1892935"/>
                          <a:ext cx="3444240" cy="1127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color w:val="auto"/>
                                <w:sz w:val="44"/>
                                <w:szCs w:val="44"/>
                                <w:lang w:val="en-US" w:eastAsia="zh-CN"/>
                              </w:rPr>
                            </w:pPr>
                            <w:r>
                              <w:rPr>
                                <w:rFonts w:hint="eastAsia" w:ascii="楷体" w:hAnsi="楷体" w:eastAsia="楷体" w:cs="楷体"/>
                                <w:color w:val="auto"/>
                                <w:sz w:val="44"/>
                                <w:szCs w:val="44"/>
                                <w:lang w:val="en-US" w:eastAsia="zh-CN"/>
                              </w:rPr>
                              <w:t>涿鹿县职业技术教育中心</w:t>
                            </w:r>
                          </w:p>
                          <w:p>
                            <w:pPr>
                              <w:rPr>
                                <w:rFonts w:hint="default"/>
                                <w:color w:val="auto"/>
                                <w:lang w:val="en-US" w:eastAsia="zh-CN"/>
                              </w:rPr>
                            </w:pPr>
                            <w:r>
                              <w:rPr>
                                <w:rFonts w:hint="default"/>
                                <w:color w:val="auto"/>
                                <w:sz w:val="32"/>
                                <w:szCs w:val="32"/>
                                <w:lang w:val="en-US" w:eastAsia="zh-CN"/>
                              </w:rPr>
                              <w:t>ZHUOLU Vocational Education Center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7pt;margin-top:47.65pt;height:88.75pt;width:271.2pt;z-index:251663360;mso-width-relative:page;mso-height-relative:page;" filled="f" stroked="f" coordsize="21600,21600" o:gfxdata="UEsDBAoAAAAAAIdO4kAAAAAAAAAAAAAAAAAEAAAAZHJzL1BLAwQUAAAACACHTuJALDCv09wAAAAK&#10;AQAADwAAAGRycy9kb3ducmV2LnhtbE2Py07DMBBF90j8gzVI7KjTtKFpGqdCkSokRBct3bCbxNMk&#10;IrZD7D7g6xlWsBzdozvn5uur6cWZRt85q2A6iUCQrZ3ubKPg8LZ5SEH4gFZj7ywp+CIP6+L2JsdM&#10;u4vd0XkfGsEl1meooA1hyKT0dUsG/cQNZDk7utFg4HNspB7xwuWml3EUPUqDneUPLQ5UtlR/7E9G&#10;wUu52eKuik363ZfPr8en4fPwnih1fzeNViACXcMfDL/6rA4FO1XuZLUXvYJ4PpszqmCZzEAwsEgT&#10;3lJxsohTkEUu/08ofgBQSwMEFAAAAAgAh07iQFp3YLBKAgAAdQQAAA4AAABkcnMvZTJvRG9jLnht&#10;bK1UsW7bMBDdC/QfCO6NLFl2YiNy4CZIUSBoArhFZ5oiIwEkjyVpS+kHtH/QqUv3fpe/o0fKdoK0&#10;Q4Yu1JH3eHfv3VHnF71WZCucb8FUND8ZUSIMh7o19xX99PH6zRklPjBTMwVGVPRBeHqxeP3qvLNz&#10;UUADqhaOYBDj552taBOCnWeZ543QzJ+AFQadEpxmAbfuPqsd6zC6VlkxGk2zDlxtHXDhPZ5eDU66&#10;j+heEhCkbLm4Ar7RwoQhqhOKBaTkm9Z6ukjVSil4uJXSi0BURZFpSCsmQXsd12xxzub3jtmm5fsS&#10;2EtKeMZJs9Zg0mOoKxYY2bj2r1C65Q48yHDCQWcDkaQIsshHz7RZNcyKxAWl9vYouv9/YfmH7Z0j&#10;bV3RcUmJYRo7vvvxfffz9+7XN4JnKFBn/RxxK4vI0L+FHsfmcO7xMPLupdPxi4wI+otpXhazCSUP&#10;iD2bFbPxZJBa9IFwBIzLsixK7AKPiLw4zYuEyB5DWefDOwGaRKOiDnuZJGbbGx+wLIQeIDGzgetW&#10;qdRPZUhX0el4MkoXjh68oQxejISGwqMV+nW/Z7mG+gFJOhjmxFt+3WLyG+bDHXM4GFgwPp1wi4tU&#10;gElgb1HSgPv6r/OIx36hl5IOB62i/suGOUGJem+wk7O8jDqEtCknpwVu3FPP+qnHbPQl4Czn+Egt&#10;T2bEB3UwpQP9GV/YMmZFFzMcc1c0HMzLMIw/vlAulssEwlm0LNyYleUx9CDnchNAtknpKNOgzV49&#10;nMbUgP3LieP+dJ9Qj3+Lx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sMK/T3AAAAAoBAAAPAAAA&#10;AAAAAAEAIAAAACIAAABkcnMvZG93bnJldi54bWxQSwECFAAUAAAACACHTuJAWndgsEoCAAB1BAAA&#10;DgAAAAAAAAABACAAAAArAQAAZHJzL2Uyb0RvYy54bWxQSwUGAAAAAAYABgBZAQAA5wUAAAAA&#10;">
                <v:fill on="f" focussize="0,0"/>
                <v:stroke on="f" weight="0.5pt"/>
                <v:imagedata o:title=""/>
                <o:lock v:ext="edit" aspectratio="f"/>
                <v:textbox>
                  <w:txbxContent>
                    <w:p>
                      <w:pPr>
                        <w:rPr>
                          <w:rFonts w:hint="eastAsia" w:ascii="楷体" w:hAnsi="楷体" w:eastAsia="楷体" w:cs="楷体"/>
                          <w:color w:val="auto"/>
                          <w:sz w:val="44"/>
                          <w:szCs w:val="44"/>
                          <w:lang w:val="en-US" w:eastAsia="zh-CN"/>
                        </w:rPr>
                      </w:pPr>
                      <w:r>
                        <w:rPr>
                          <w:rFonts w:hint="eastAsia" w:ascii="楷体" w:hAnsi="楷体" w:eastAsia="楷体" w:cs="楷体"/>
                          <w:color w:val="auto"/>
                          <w:sz w:val="44"/>
                          <w:szCs w:val="44"/>
                          <w:lang w:val="en-US" w:eastAsia="zh-CN"/>
                        </w:rPr>
                        <w:t>涿鹿县职业技术教育中心</w:t>
                      </w:r>
                    </w:p>
                    <w:p>
                      <w:pPr>
                        <w:rPr>
                          <w:rFonts w:hint="default"/>
                          <w:color w:val="auto"/>
                          <w:lang w:val="en-US" w:eastAsia="zh-CN"/>
                        </w:rPr>
                      </w:pPr>
                      <w:r>
                        <w:rPr>
                          <w:rFonts w:hint="default"/>
                          <w:color w:val="auto"/>
                          <w:sz w:val="32"/>
                          <w:szCs w:val="32"/>
                          <w:lang w:val="en-US" w:eastAsia="zh-CN"/>
                        </w:rPr>
                        <w:t>ZHUOLU Vocational Education Center</w:t>
                      </w:r>
                    </w:p>
                  </w:txbxContent>
                </v:textbox>
              </v:shape>
            </w:pict>
          </mc:Fallback>
        </mc:AlternateContent>
      </w:r>
    </w:p>
    <w:p>
      <w:pPr>
        <w:pStyle w:val="23"/>
        <w:spacing w:before="0" w:beforeAutospacing="0" w:after="0" w:afterAutospacing="0" w:line="1095" w:lineRule="atLeast"/>
        <w:jc w:val="center"/>
        <w:rPr>
          <w:rFonts w:hint="eastAsia" w:ascii="黑体" w:hAnsi="黑体" w:eastAsia="黑体" w:cs="黑体"/>
          <w:b w:val="0"/>
          <w:bCs w:val="0"/>
          <w:sz w:val="56"/>
          <w:szCs w:val="56"/>
        </w:rPr>
      </w:pPr>
    </w:p>
    <w:p>
      <w:pPr>
        <w:pStyle w:val="23"/>
        <w:spacing w:before="0" w:beforeAutospacing="0" w:after="0" w:afterAutospacing="0" w:line="555" w:lineRule="atLeast"/>
        <w:jc w:val="center"/>
        <w:rPr>
          <w:rStyle w:val="28"/>
          <w:rFonts w:hint="eastAsia" w:ascii="仿宋" w:hAnsi="仿宋" w:eastAsia="仿宋" w:cs="仿宋"/>
          <w:b/>
          <w:bCs/>
          <w:sz w:val="44"/>
          <w:szCs w:val="44"/>
          <w:lang w:val="en-US" w:eastAsia="zh-CN"/>
        </w:rPr>
      </w:pPr>
      <w:r>
        <w:rPr>
          <w:rStyle w:val="28"/>
          <w:rFonts w:hint="eastAsia" w:ascii="仿宋" w:hAnsi="仿宋" w:eastAsia="仿宋" w:cs="仿宋"/>
          <w:b/>
          <w:bCs/>
          <w:sz w:val="44"/>
          <w:szCs w:val="44"/>
          <w:lang w:val="en-US" w:eastAsia="zh-CN"/>
        </w:rPr>
        <w:t>年报公开形式及网址</w:t>
      </w:r>
    </w:p>
    <w:p>
      <w:pPr>
        <w:pStyle w:val="23"/>
        <w:spacing w:before="0" w:beforeAutospacing="0" w:after="0" w:afterAutospacing="0" w:line="555" w:lineRule="atLeast"/>
        <w:jc w:val="center"/>
        <w:rPr>
          <w:rStyle w:val="28"/>
          <w:rFonts w:hint="default" w:ascii="仿宋" w:hAnsi="仿宋" w:eastAsia="仿宋" w:cs="仿宋"/>
          <w:b/>
          <w:bCs/>
          <w:sz w:val="44"/>
          <w:szCs w:val="44"/>
          <w:lang w:val="en-US" w:eastAsia="zh-CN"/>
        </w:rPr>
      </w:pPr>
    </w:p>
    <w:p>
      <w:p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年报公开形式：学校网站、公众号</w:t>
      </w:r>
    </w:p>
    <w:p>
      <w:pPr>
        <w:pStyle w:val="21"/>
        <w:ind w:left="0" w:leftChars="0" w:firstLine="0" w:firstLineChars="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学校网站：</w:t>
      </w:r>
      <w:r>
        <w:rPr>
          <w:rFonts w:hint="default" w:ascii="仿宋" w:hAnsi="仿宋" w:eastAsia="仿宋" w:cs="仿宋"/>
          <w:b/>
          <w:bCs/>
          <w:sz w:val="32"/>
          <w:szCs w:val="32"/>
          <w:lang w:val="en-US" w:eastAsia="zh-CN"/>
        </w:rPr>
        <w:t>http</w:t>
      </w:r>
      <w:r>
        <w:rPr>
          <w:rFonts w:hint="eastAsia" w:ascii="仿宋" w:hAnsi="仿宋" w:eastAsia="仿宋" w:cs="仿宋"/>
          <w:b/>
          <w:bCs/>
          <w:sz w:val="32"/>
          <w:szCs w:val="32"/>
          <w:lang w:val="en-US" w:eastAsia="zh-CN"/>
        </w:rPr>
        <w:t>://</w:t>
      </w:r>
      <w:r>
        <w:rPr>
          <w:rFonts w:hint="default" w:ascii="仿宋" w:hAnsi="仿宋" w:eastAsia="仿宋" w:cs="仿宋"/>
          <w:b/>
          <w:bCs/>
          <w:sz w:val="32"/>
          <w:szCs w:val="32"/>
          <w:lang w:val="en-US" w:eastAsia="zh-CN"/>
        </w:rPr>
        <w:t>www</w:t>
      </w:r>
      <w:r>
        <w:rPr>
          <w:rFonts w:hint="eastAsia" w:ascii="仿宋" w:hAnsi="仿宋" w:eastAsia="仿宋" w:cs="仿宋"/>
          <w:b/>
          <w:bCs/>
          <w:sz w:val="32"/>
          <w:szCs w:val="32"/>
          <w:lang w:val="en-US" w:eastAsia="zh-CN"/>
        </w:rPr>
        <w:t>.zlzj1993.com</w:t>
      </w:r>
    </w:p>
    <w:p>
      <w:pPr>
        <w:rPr>
          <w:rFonts w:hint="eastAsia"/>
          <w:lang w:val="en-US" w:eastAsia="zh-CN"/>
        </w:rPr>
      </w:pPr>
    </w:p>
    <w:p>
      <w:pPr>
        <w:rPr>
          <w:rFonts w:hint="eastAsia"/>
        </w:rPr>
      </w:pPr>
    </w:p>
    <w:p>
      <w:pPr>
        <w:rPr>
          <w:rFonts w:hint="eastAsia"/>
        </w:rPr>
      </w:pPr>
    </w:p>
    <w:p>
      <w:pPr>
        <w:rPr>
          <w:rFonts w:hint="eastAsia"/>
        </w:rPr>
      </w:pPr>
    </w:p>
    <w:p>
      <w:pPr>
        <w:rPr>
          <w:rFonts w:hint="eastAsia"/>
        </w:rPr>
      </w:pPr>
    </w:p>
    <w:p>
      <w:pPr>
        <w:pStyle w:val="21"/>
        <w:tabs>
          <w:tab w:val="right" w:leader="dot" w:pos="8732"/>
        </w:tabs>
        <w:jc w:val="center"/>
        <w:rPr>
          <w:rFonts w:hint="eastAsia" w:eastAsiaTheme="minorEastAsia"/>
          <w:lang w:eastAsia="zh-CN"/>
        </w:rPr>
      </w:pPr>
    </w:p>
    <w:p>
      <w:pPr>
        <w:rPr>
          <w:rFonts w:hint="eastAsia" w:eastAsiaTheme="minorEastAsia"/>
          <w:lang w:eastAsia="zh-CN"/>
        </w:rPr>
      </w:pPr>
    </w:p>
    <w:p>
      <w:pPr>
        <w:pStyle w:val="2"/>
        <w:rPr>
          <w:rFonts w:hint="eastAsia" w:eastAsiaTheme="minorEastAsia"/>
          <w:lang w:eastAsia="zh-CN"/>
        </w:rPr>
      </w:pPr>
    </w:p>
    <w:p>
      <w:pPr>
        <w:pStyle w:val="3"/>
        <w:rPr>
          <w:rFonts w:hint="eastAsia" w:eastAsiaTheme="minorEastAsia"/>
          <w:lang w:eastAsia="zh-CN"/>
        </w:rPr>
      </w:pPr>
    </w:p>
    <w:p>
      <w:pPr>
        <w:rPr>
          <w:rFonts w:hint="eastAsia" w:eastAsiaTheme="minorEastAsia"/>
          <w:lang w:eastAsia="zh-CN"/>
        </w:rPr>
      </w:pPr>
    </w:p>
    <w:p>
      <w:pPr>
        <w:pStyle w:val="2"/>
        <w:rPr>
          <w:rFonts w:hint="eastAsia" w:eastAsiaTheme="minorEastAsia"/>
          <w:lang w:eastAsia="zh-CN"/>
        </w:rPr>
      </w:pPr>
    </w:p>
    <w:p>
      <w:pPr>
        <w:pStyle w:val="3"/>
        <w:rPr>
          <w:rFonts w:hint="eastAsia" w:eastAsiaTheme="minorEastAsia"/>
          <w:lang w:eastAsia="zh-CN"/>
        </w:rPr>
      </w:pPr>
    </w:p>
    <w:p>
      <w:pPr>
        <w:rPr>
          <w:rFonts w:hint="eastAsia" w:eastAsiaTheme="minorEastAsia"/>
          <w:lang w:eastAsia="zh-CN"/>
        </w:rPr>
      </w:pPr>
    </w:p>
    <w:p>
      <w:pPr>
        <w:pStyle w:val="2"/>
        <w:rPr>
          <w:rFonts w:hint="eastAsia" w:eastAsiaTheme="minorEastAsia"/>
          <w:lang w:eastAsia="zh-CN"/>
        </w:rPr>
      </w:pPr>
    </w:p>
    <w:p>
      <w:pPr>
        <w:pStyle w:val="3"/>
        <w:rPr>
          <w:rFonts w:hint="eastAsia" w:eastAsiaTheme="minorEastAsia"/>
          <w:lang w:eastAsia="zh-CN"/>
        </w:rPr>
      </w:pPr>
    </w:p>
    <w:p>
      <w:pPr>
        <w:rPr>
          <w:rFonts w:hint="eastAsia" w:eastAsiaTheme="minorEastAsia"/>
          <w:lang w:eastAsia="zh-CN"/>
        </w:rPr>
      </w:pPr>
    </w:p>
    <w:p>
      <w:pPr>
        <w:pStyle w:val="2"/>
        <w:rPr>
          <w:rFonts w:hint="eastAsia" w:eastAsiaTheme="minorEastAsia"/>
          <w:lang w:eastAsia="zh-CN"/>
        </w:rPr>
      </w:pPr>
    </w:p>
    <w:p>
      <w:pPr>
        <w:pStyle w:val="3"/>
        <w:rPr>
          <w:rFonts w:hint="eastAsia" w:eastAsiaTheme="minorEastAsia"/>
          <w:lang w:eastAsia="zh-CN"/>
        </w:rPr>
      </w:pPr>
    </w:p>
    <w:p>
      <w:pPr>
        <w:rPr>
          <w:rFonts w:hint="eastAsia" w:eastAsiaTheme="minorEastAsia"/>
          <w:lang w:eastAsia="zh-CN"/>
        </w:rPr>
      </w:pPr>
    </w:p>
    <w:p>
      <w:pPr>
        <w:pStyle w:val="2"/>
        <w:rPr>
          <w:rFonts w:hint="eastAsia" w:eastAsiaTheme="minorEastAsia"/>
          <w:lang w:eastAsia="zh-CN"/>
        </w:rPr>
      </w:pPr>
    </w:p>
    <w:p>
      <w:pPr>
        <w:pStyle w:val="3"/>
        <w:rPr>
          <w:rFonts w:hint="eastAsia" w:eastAsiaTheme="minorEastAsia"/>
          <w:lang w:eastAsia="zh-CN"/>
        </w:rPr>
      </w:pPr>
    </w:p>
    <w:p>
      <w:pPr>
        <w:rPr>
          <w:rFonts w:hint="eastAsia" w:eastAsiaTheme="minorEastAsia"/>
          <w:lang w:eastAsia="zh-CN"/>
        </w:rPr>
      </w:pPr>
    </w:p>
    <w:p>
      <w:pPr>
        <w:pStyle w:val="2"/>
        <w:rPr>
          <w:rFonts w:hint="eastAsia" w:eastAsiaTheme="minorEastAsia"/>
          <w:lang w:eastAsia="zh-CN"/>
        </w:rPr>
      </w:pPr>
    </w:p>
    <w:p>
      <w:pPr>
        <w:pStyle w:val="3"/>
        <w:rPr>
          <w:rFonts w:hint="eastAsia" w:eastAsiaTheme="minorEastAsia"/>
          <w:lang w:eastAsia="zh-CN"/>
        </w:r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pPr>
        <w:rPr>
          <w:rFonts w:hint="eastAsia"/>
          <w:lang w:eastAsia="zh-CN"/>
        </w:rPr>
      </w:pPr>
    </w:p>
    <w:p>
      <w:pPr>
        <w:rPr>
          <w:rFonts w:hint="eastAsia"/>
          <w:lang w:eastAsia="zh-CN"/>
        </w:rPr>
        <w:sectPr>
          <w:footerReference r:id="rId8" w:type="first"/>
          <w:footerReference r:id="rId7" w:type="default"/>
          <w:pgSz w:w="11906" w:h="16838"/>
          <w:pgMar w:top="1440" w:right="1587" w:bottom="1440" w:left="1587" w:header="851" w:footer="992" w:gutter="0"/>
          <w:pgBorders>
            <w:top w:val="none" w:sz="0" w:space="0"/>
            <w:left w:val="none" w:sz="0" w:space="0"/>
            <w:bottom w:val="none" w:sz="0" w:space="0"/>
            <w:right w:val="none" w:sz="0" w:space="0"/>
          </w:pgBorders>
          <w:pgNumType w:fmt="decimal"/>
          <w:cols w:space="0" w:num="1"/>
          <w:titlePg/>
          <w:rtlGutter w:val="0"/>
          <w:docGrid w:type="lines" w:linePitch="312" w:charSpace="0"/>
        </w:sectPr>
      </w:pPr>
      <w:r>
        <w:drawing>
          <wp:inline distT="0" distB="0" distL="114300" distR="114300">
            <wp:extent cx="5541010" cy="7584440"/>
            <wp:effectExtent l="0" t="0" r="2540" b="1651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9"/>
                    <a:stretch>
                      <a:fillRect/>
                    </a:stretch>
                  </pic:blipFill>
                  <pic:spPr>
                    <a:xfrm flipV="1">
                      <a:off x="0" y="0"/>
                      <a:ext cx="5541010" cy="7584440"/>
                    </a:xfrm>
                    <a:prstGeom prst="rect">
                      <a:avLst/>
                    </a:prstGeom>
                    <a:noFill/>
                    <a:ln>
                      <a:noFill/>
                    </a:ln>
                  </pic:spPr>
                </pic:pic>
              </a:graphicData>
            </a:graphic>
          </wp:inline>
        </w:drawing>
      </w:r>
    </w:p>
    <w:p>
      <w:pPr>
        <w:jc w:val="center"/>
        <w:rPr>
          <w:rFonts w:hint="eastAsia" w:ascii="宋体" w:hAnsi="宋体" w:eastAsia="宋体" w:cs="宋体"/>
          <w:b/>
          <w:bCs/>
          <w:kern w:val="2"/>
          <w:sz w:val="44"/>
          <w:szCs w:val="44"/>
          <w:lang w:val="en-US" w:eastAsia="zh-CN" w:bidi="ar-SA"/>
        </w:rPr>
      </w:pPr>
      <w:r>
        <w:rPr>
          <w:rFonts w:hint="eastAsia" w:ascii="宋体" w:hAnsi="宋体" w:eastAsia="宋体" w:cs="宋体"/>
          <w:b/>
          <w:bCs/>
          <w:kern w:val="2"/>
          <w:sz w:val="44"/>
          <w:szCs w:val="44"/>
          <w:lang w:val="en-US" w:eastAsia="zh-CN" w:bidi="ar-SA"/>
        </w:rPr>
        <w:t>前言</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编制目的</w:t>
      </w:r>
    </w:p>
    <w:p>
      <w:pPr>
        <w:keepNext w:val="0"/>
        <w:keepLines w:val="0"/>
        <w:pageBreakBefore w:val="0"/>
        <w:widowControl/>
        <w:suppressLineNumbers w:val="0"/>
        <w:kinsoku/>
        <w:wordWrap/>
        <w:overflowPunct/>
        <w:topLinePunct w:val="0"/>
        <w:autoSpaceDE w:val="0"/>
        <w:autoSpaceDN w:val="0"/>
        <w:bidi w:val="0"/>
        <w:adjustRightInd/>
        <w:snapToGrid/>
        <w:spacing w:line="560" w:lineRule="exact"/>
        <w:ind w:left="0" w:leftChars="0" w:right="0" w:rightChars="0" w:firstLine="636" w:firstLineChars="200"/>
        <w:jc w:val="left"/>
        <w:textAlignment w:val="auto"/>
        <w:outlineLvl w:val="9"/>
        <w:rPr>
          <w:rFonts w:hint="default" w:ascii="仿宋" w:hAnsi="仿宋" w:eastAsia="仿宋" w:cs="仿宋"/>
          <w:b w:val="0"/>
          <w:bCs w:val="0"/>
          <w:kern w:val="2"/>
          <w:sz w:val="32"/>
          <w:szCs w:val="32"/>
          <w:lang w:val="en-US" w:eastAsia="zh-CN" w:bidi="ar-SA"/>
        </w:rPr>
      </w:pPr>
      <w:r>
        <w:rPr>
          <w:rFonts w:hint="eastAsia" w:ascii="仿宋" w:hAnsi="仿宋" w:eastAsia="仿宋" w:cs="仿宋"/>
          <w:spacing w:val="-1"/>
          <w:sz w:val="32"/>
          <w:szCs w:val="32"/>
        </w:rPr>
        <w:t>年报制度是推进职业教育质量评价改革的重要抓手，是</w:t>
      </w:r>
      <w:r>
        <w:rPr>
          <w:rFonts w:hint="eastAsia" w:ascii="仿宋" w:hAnsi="仿宋" w:eastAsia="仿宋" w:cs="仿宋"/>
          <w:spacing w:val="3"/>
          <w:w w:val="95"/>
          <w:sz w:val="32"/>
          <w:szCs w:val="32"/>
        </w:rPr>
        <w:t>职业教育履行责任担当、树立质量发展观、宣传发展成绩、</w:t>
      </w:r>
      <w:r>
        <w:rPr>
          <w:rFonts w:hint="eastAsia" w:ascii="仿宋" w:hAnsi="仿宋" w:eastAsia="仿宋" w:cs="仿宋"/>
          <w:spacing w:val="-2"/>
          <w:sz w:val="32"/>
          <w:szCs w:val="32"/>
        </w:rPr>
        <w:t>接受社会监督的重要载体，是职业学校强化内涵发展，持续</w:t>
      </w:r>
      <w:r>
        <w:rPr>
          <w:rFonts w:hint="eastAsia" w:ascii="仿宋" w:hAnsi="仿宋" w:eastAsia="仿宋" w:cs="仿宋"/>
          <w:spacing w:val="-5"/>
          <w:sz w:val="32"/>
          <w:szCs w:val="32"/>
        </w:rPr>
        <w:t>诊断和改进，全面提高人才培养质量的重要举措。</w:t>
      </w:r>
      <w:r>
        <w:rPr>
          <w:rFonts w:hint="eastAsia" w:ascii="仿宋" w:hAnsi="仿宋" w:eastAsia="仿宋" w:cs="仿宋"/>
          <w:spacing w:val="-5"/>
          <w:sz w:val="32"/>
          <w:szCs w:val="32"/>
          <w:lang w:val="en-US" w:eastAsia="zh-CN"/>
        </w:rPr>
        <w:t>为严格落实</w:t>
      </w:r>
      <w:r>
        <w:rPr>
          <w:rFonts w:hint="eastAsia" w:ascii="仿宋" w:hAnsi="仿宋" w:eastAsia="仿宋" w:cs="仿宋"/>
          <w:spacing w:val="-1"/>
          <w:sz w:val="32"/>
          <w:szCs w:val="32"/>
          <w:lang w:val="en-US" w:eastAsia="zh-CN" w:bidi="zh-CN"/>
        </w:rPr>
        <w:t>河北省教育厅《关于做好2024年职业教育质量报告</w:t>
      </w:r>
      <w:r>
        <w:rPr>
          <w:rFonts w:hint="eastAsia" w:hAnsi="仿宋" w:cs="仿宋"/>
          <w:spacing w:val="-1"/>
          <w:sz w:val="32"/>
          <w:szCs w:val="32"/>
          <w:lang w:val="en-US" w:eastAsia="zh-CN" w:bidi="zh-CN"/>
        </w:rPr>
        <w:t>（</w:t>
      </w:r>
      <w:r>
        <w:rPr>
          <w:rFonts w:hint="eastAsia" w:ascii="仿宋" w:hAnsi="仿宋" w:eastAsia="仿宋" w:cs="仿宋"/>
          <w:spacing w:val="-1"/>
          <w:sz w:val="32"/>
          <w:szCs w:val="32"/>
          <w:lang w:val="en-US" w:eastAsia="zh-CN" w:bidi="zh-CN"/>
        </w:rPr>
        <w:t>2024年度</w:t>
      </w:r>
      <w:r>
        <w:rPr>
          <w:rFonts w:hint="eastAsia" w:hAnsi="仿宋" w:cs="仿宋"/>
          <w:spacing w:val="-1"/>
          <w:sz w:val="32"/>
          <w:szCs w:val="32"/>
          <w:lang w:val="en-US" w:eastAsia="zh-CN" w:bidi="zh-CN"/>
        </w:rPr>
        <w:t>）</w:t>
      </w:r>
      <w:r>
        <w:rPr>
          <w:rFonts w:hint="eastAsia" w:ascii="仿宋" w:hAnsi="仿宋" w:eastAsia="仿宋" w:cs="仿宋"/>
          <w:spacing w:val="-1"/>
          <w:sz w:val="32"/>
          <w:szCs w:val="32"/>
          <w:lang w:val="en-US" w:eastAsia="zh-CN" w:bidi="zh-CN"/>
        </w:rPr>
        <w:t>编制、发布和报送工作的通知》（冀教职成函[2024]58号）</w:t>
      </w:r>
      <w:r>
        <w:rPr>
          <w:rFonts w:hint="eastAsia" w:hAnsi="仿宋" w:cs="仿宋"/>
          <w:spacing w:val="-1"/>
          <w:sz w:val="32"/>
          <w:szCs w:val="32"/>
          <w:lang w:val="en-US" w:eastAsia="zh-CN" w:bidi="zh-CN"/>
        </w:rPr>
        <w:t>要求</w:t>
      </w:r>
      <w:r>
        <w:rPr>
          <w:rFonts w:hint="eastAsia" w:ascii="仿宋" w:hAnsi="仿宋" w:eastAsia="仿宋" w:cs="仿宋"/>
          <w:spacing w:val="-1"/>
          <w:sz w:val="32"/>
          <w:szCs w:val="32"/>
          <w:lang w:val="en-US" w:eastAsia="zh-CN" w:bidi="zh-CN"/>
        </w:rPr>
        <w:t>，</w:t>
      </w:r>
      <w:r>
        <w:rPr>
          <w:rFonts w:hint="eastAsia" w:ascii="仿宋" w:hAnsi="仿宋" w:eastAsia="仿宋" w:cs="仿宋"/>
          <w:spacing w:val="-5"/>
          <w:sz w:val="32"/>
          <w:szCs w:val="32"/>
        </w:rPr>
        <w:t>充分发挥年报对</w:t>
      </w:r>
      <w:r>
        <w:rPr>
          <w:rFonts w:hint="eastAsia" w:ascii="仿宋" w:hAnsi="仿宋" w:eastAsia="仿宋" w:cs="仿宋"/>
          <w:spacing w:val="-5"/>
          <w:sz w:val="32"/>
          <w:szCs w:val="32"/>
          <w:lang w:val="en-US" w:eastAsia="zh-CN"/>
        </w:rPr>
        <w:t>学校</w:t>
      </w:r>
      <w:r>
        <w:rPr>
          <w:rFonts w:hint="eastAsia" w:ascii="仿宋" w:hAnsi="仿宋" w:eastAsia="仿宋" w:cs="仿宋"/>
          <w:spacing w:val="-5"/>
          <w:sz w:val="32"/>
          <w:szCs w:val="32"/>
        </w:rPr>
        <w:t>职业教育高质量发展的推动作用</w:t>
      </w:r>
      <w:r>
        <w:rPr>
          <w:rFonts w:hint="eastAsia" w:ascii="仿宋" w:hAnsi="仿宋" w:eastAsia="仿宋" w:cs="仿宋"/>
          <w:spacing w:val="-5"/>
          <w:sz w:val="32"/>
          <w:szCs w:val="32"/>
          <w:lang w:eastAsia="zh-CN"/>
        </w:rPr>
        <w:t>，</w:t>
      </w:r>
      <w:r>
        <w:rPr>
          <w:rFonts w:hint="eastAsia" w:ascii="仿宋" w:hAnsi="仿宋" w:eastAsia="仿宋" w:cs="仿宋"/>
          <w:spacing w:val="-5"/>
          <w:sz w:val="32"/>
          <w:szCs w:val="32"/>
          <w:lang w:val="en-US" w:eastAsia="zh-CN"/>
        </w:rPr>
        <w:t>提高年报质量，特此编制涿鹿县职业技术教育中心质量年度报告（</w:t>
      </w:r>
      <w:r>
        <w:rPr>
          <w:rFonts w:hint="default" w:ascii="仿宋" w:hAnsi="仿宋" w:eastAsia="仿宋" w:cs="仿宋"/>
          <w:spacing w:val="-5"/>
          <w:sz w:val="32"/>
          <w:szCs w:val="32"/>
          <w:lang w:val="en-US" w:eastAsia="zh-CN"/>
        </w:rPr>
        <w:t>202</w:t>
      </w:r>
      <w:r>
        <w:rPr>
          <w:rFonts w:hint="eastAsia" w:ascii="仿宋" w:hAnsi="仿宋" w:eastAsia="仿宋" w:cs="仿宋"/>
          <w:spacing w:val="-5"/>
          <w:sz w:val="32"/>
          <w:szCs w:val="32"/>
          <w:lang w:val="en-US" w:eastAsia="zh-CN"/>
        </w:rPr>
        <w:t>4）。</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编制过程</w:t>
      </w:r>
    </w:p>
    <w:p>
      <w:pPr>
        <w:keepNext w:val="0"/>
        <w:keepLines w:val="0"/>
        <w:pageBreakBefore w:val="0"/>
        <w:widowControl/>
        <w:suppressLineNumbers w:val="0"/>
        <w:kinsoku/>
        <w:wordWrap/>
        <w:overflowPunct/>
        <w:topLinePunct w:val="0"/>
        <w:autoSpaceDE w:val="0"/>
        <w:autoSpaceDN w:val="0"/>
        <w:bidi w:val="0"/>
        <w:adjustRightInd/>
        <w:snapToGrid/>
        <w:spacing w:line="560" w:lineRule="exact"/>
        <w:ind w:left="0" w:leftChars="0" w:right="0" w:rightChars="0" w:firstLine="620" w:firstLineChars="200"/>
        <w:jc w:val="left"/>
        <w:textAlignment w:val="auto"/>
        <w:outlineLvl w:val="9"/>
        <w:rPr>
          <w:rFonts w:hint="eastAsia" w:ascii="仿宋" w:hAnsi="仿宋" w:eastAsia="仿宋" w:cs="仿宋"/>
          <w:b w:val="0"/>
          <w:bCs w:val="0"/>
          <w:kern w:val="2"/>
          <w:sz w:val="32"/>
          <w:szCs w:val="32"/>
          <w:lang w:val="en-US" w:eastAsia="zh-CN" w:bidi="ar-SA"/>
        </w:rPr>
      </w:pPr>
      <w:r>
        <w:rPr>
          <w:rFonts w:hint="eastAsia" w:ascii="仿宋" w:hAnsi="仿宋" w:eastAsia="仿宋" w:cs="仿宋"/>
          <w:spacing w:val="-5"/>
          <w:sz w:val="32"/>
          <w:szCs w:val="32"/>
          <w:lang w:val="en-US" w:eastAsia="zh-CN"/>
        </w:rPr>
        <w:t>学校领导</w:t>
      </w:r>
      <w:r>
        <w:rPr>
          <w:rFonts w:hint="eastAsia" w:ascii="仿宋" w:hAnsi="仿宋" w:eastAsia="仿宋" w:cs="仿宋"/>
          <w:spacing w:val="-19"/>
          <w:sz w:val="32"/>
          <w:szCs w:val="32"/>
        </w:rPr>
        <w:t>高度重视职业教育质量年度报告</w:t>
      </w:r>
      <w:r>
        <w:rPr>
          <w:rFonts w:hint="eastAsia" w:ascii="仿宋" w:hAnsi="仿宋" w:eastAsia="仿宋" w:cs="仿宋"/>
          <w:spacing w:val="-3"/>
          <w:sz w:val="32"/>
          <w:szCs w:val="32"/>
        </w:rPr>
        <w:t>编制、发布和报送工作，</w:t>
      </w:r>
      <w:r>
        <w:rPr>
          <w:rFonts w:hint="eastAsia" w:ascii="仿宋" w:hAnsi="仿宋" w:eastAsia="仿宋" w:cs="仿宋"/>
          <w:spacing w:val="-3"/>
          <w:sz w:val="32"/>
          <w:szCs w:val="32"/>
          <w:lang w:val="en-US" w:eastAsia="zh-CN"/>
        </w:rPr>
        <w:t>于</w:t>
      </w:r>
      <w:r>
        <w:rPr>
          <w:rFonts w:hint="default" w:ascii="仿宋" w:hAnsi="仿宋" w:eastAsia="仿宋" w:cs="仿宋"/>
          <w:spacing w:val="-3"/>
          <w:sz w:val="32"/>
          <w:szCs w:val="32"/>
          <w:lang w:val="en-US" w:eastAsia="zh-CN"/>
        </w:rPr>
        <w:t>11</w:t>
      </w:r>
      <w:r>
        <w:rPr>
          <w:rFonts w:hint="eastAsia" w:ascii="仿宋" w:hAnsi="仿宋" w:eastAsia="仿宋" w:cs="仿宋"/>
          <w:spacing w:val="-3"/>
          <w:sz w:val="32"/>
          <w:szCs w:val="32"/>
          <w:lang w:val="en-US" w:eastAsia="zh-CN"/>
        </w:rPr>
        <w:t>月</w:t>
      </w:r>
      <w:r>
        <w:rPr>
          <w:rFonts w:hint="default" w:ascii="仿宋" w:hAnsi="仿宋" w:eastAsia="仿宋" w:cs="仿宋"/>
          <w:spacing w:val="-3"/>
          <w:sz w:val="32"/>
          <w:szCs w:val="32"/>
          <w:lang w:val="en-US" w:eastAsia="zh-CN"/>
        </w:rPr>
        <w:t>2</w:t>
      </w:r>
      <w:r>
        <w:rPr>
          <w:rFonts w:hint="eastAsia" w:ascii="仿宋" w:hAnsi="仿宋" w:eastAsia="仿宋" w:cs="仿宋"/>
          <w:spacing w:val="-3"/>
          <w:sz w:val="32"/>
          <w:szCs w:val="32"/>
          <w:lang w:val="en-US" w:eastAsia="zh-CN"/>
        </w:rPr>
        <w:t>3日召开培训会，启动年报编制工作，</w:t>
      </w:r>
      <w:r>
        <w:rPr>
          <w:rFonts w:hint="eastAsia" w:ascii="仿宋" w:hAnsi="仿宋" w:eastAsia="仿宋" w:cs="仿宋"/>
          <w:spacing w:val="-3"/>
          <w:sz w:val="32"/>
          <w:szCs w:val="32"/>
        </w:rPr>
        <w:t>强化</w:t>
      </w:r>
      <w:r>
        <w:rPr>
          <w:rFonts w:hint="eastAsia" w:ascii="仿宋" w:hAnsi="仿宋" w:eastAsia="仿宋" w:cs="仿宋"/>
          <w:spacing w:val="-3"/>
          <w:sz w:val="32"/>
          <w:szCs w:val="32"/>
          <w:lang w:val="en-US" w:eastAsia="zh-CN"/>
        </w:rPr>
        <w:t>了</w:t>
      </w:r>
      <w:r>
        <w:rPr>
          <w:rFonts w:hint="eastAsia" w:ascii="仿宋" w:hAnsi="仿宋" w:eastAsia="仿宋" w:cs="仿宋"/>
          <w:spacing w:val="-3"/>
          <w:sz w:val="32"/>
          <w:szCs w:val="32"/>
        </w:rPr>
        <w:t>年报编写质量、应用宣传</w:t>
      </w:r>
      <w:r>
        <w:rPr>
          <w:rFonts w:hint="eastAsia" w:ascii="仿宋" w:hAnsi="仿宋" w:eastAsia="仿宋" w:cs="仿宋"/>
          <w:spacing w:val="-5"/>
          <w:sz w:val="32"/>
          <w:szCs w:val="32"/>
        </w:rPr>
        <w:t>以及公开情况的</w:t>
      </w:r>
      <w:r>
        <w:rPr>
          <w:rFonts w:hint="eastAsia" w:ascii="仿宋" w:hAnsi="仿宋" w:eastAsia="仿宋" w:cs="仿宋"/>
          <w:spacing w:val="-3"/>
          <w:sz w:val="32"/>
          <w:szCs w:val="32"/>
          <w:lang w:val="en-US" w:eastAsia="zh-CN"/>
        </w:rPr>
        <w:t>重要性</w:t>
      </w:r>
      <w:r>
        <w:rPr>
          <w:rFonts w:hint="eastAsia" w:ascii="仿宋" w:hAnsi="仿宋" w:eastAsia="仿宋" w:cs="仿宋"/>
          <w:spacing w:val="-3"/>
          <w:sz w:val="32"/>
          <w:szCs w:val="32"/>
        </w:rPr>
        <w:t>，</w:t>
      </w:r>
      <w:r>
        <w:rPr>
          <w:rFonts w:hint="eastAsia" w:ascii="仿宋" w:hAnsi="仿宋" w:eastAsia="仿宋" w:cs="仿宋"/>
          <w:spacing w:val="3"/>
          <w:w w:val="95"/>
          <w:sz w:val="32"/>
          <w:szCs w:val="32"/>
        </w:rPr>
        <w:t>明确</w:t>
      </w:r>
      <w:r>
        <w:rPr>
          <w:rFonts w:hint="eastAsia" w:ascii="仿宋" w:hAnsi="仿宋" w:eastAsia="仿宋" w:cs="仿宋"/>
          <w:spacing w:val="3"/>
          <w:w w:val="95"/>
          <w:sz w:val="32"/>
          <w:szCs w:val="32"/>
          <w:lang w:val="en-US" w:eastAsia="zh-CN"/>
        </w:rPr>
        <w:t>由质量提升办公室</w:t>
      </w:r>
      <w:r>
        <w:rPr>
          <w:rFonts w:hint="eastAsia" w:ascii="仿宋" w:hAnsi="仿宋" w:eastAsia="仿宋" w:cs="仿宋"/>
          <w:spacing w:val="3"/>
          <w:w w:val="95"/>
          <w:sz w:val="32"/>
          <w:szCs w:val="32"/>
        </w:rPr>
        <w:t>负责。</w:t>
      </w:r>
      <w:r>
        <w:rPr>
          <w:rFonts w:hint="eastAsia" w:ascii="仿宋" w:hAnsi="仿宋" w:eastAsia="仿宋" w:cs="仿宋"/>
          <w:spacing w:val="3"/>
          <w:w w:val="95"/>
          <w:sz w:val="32"/>
          <w:szCs w:val="32"/>
          <w:lang w:val="en-US" w:eastAsia="zh-CN"/>
        </w:rPr>
        <w:t>会后质量提升办公室全体成员认真学习相关文件，具体落实两名编制人员。</w:t>
      </w:r>
      <w:r>
        <w:rPr>
          <w:rFonts w:hint="eastAsia" w:ascii="仿宋" w:hAnsi="仿宋" w:eastAsia="仿宋" w:cs="仿宋"/>
          <w:spacing w:val="-6"/>
          <w:sz w:val="32"/>
          <w:szCs w:val="32"/>
          <w:lang w:val="en-US" w:eastAsia="zh-CN"/>
        </w:rPr>
        <w:t>负责人</w:t>
      </w:r>
      <w:r>
        <w:rPr>
          <w:rFonts w:hint="eastAsia" w:ascii="仿宋" w:hAnsi="仿宋" w:eastAsia="仿宋" w:cs="仿宋"/>
          <w:spacing w:val="-6"/>
          <w:sz w:val="32"/>
          <w:szCs w:val="32"/>
        </w:rPr>
        <w:t>对年报内容框架的完整性、采集数据的真实性和报送工作的合规性</w:t>
      </w:r>
      <w:r>
        <w:rPr>
          <w:rFonts w:hint="eastAsia" w:ascii="仿宋" w:hAnsi="仿宋" w:eastAsia="仿宋" w:cs="仿宋"/>
          <w:spacing w:val="-6"/>
          <w:sz w:val="32"/>
          <w:szCs w:val="32"/>
          <w:lang w:val="en-US" w:eastAsia="zh-CN"/>
        </w:rPr>
        <w:t>严格</w:t>
      </w:r>
      <w:r>
        <w:rPr>
          <w:rFonts w:hint="eastAsia" w:ascii="仿宋" w:hAnsi="仿宋" w:eastAsia="仿宋" w:cs="仿宋"/>
          <w:spacing w:val="-6"/>
          <w:sz w:val="32"/>
          <w:szCs w:val="32"/>
        </w:rPr>
        <w:t>把关，</w:t>
      </w:r>
      <w:r>
        <w:rPr>
          <w:rFonts w:hint="eastAsia" w:ascii="仿宋" w:hAnsi="仿宋" w:eastAsia="仿宋" w:cs="仿宋"/>
          <w:spacing w:val="-23"/>
          <w:sz w:val="32"/>
          <w:szCs w:val="32"/>
          <w:lang w:eastAsia="zh-CN"/>
        </w:rPr>
        <w:t>认真组织</w:t>
      </w:r>
      <w:r>
        <w:rPr>
          <w:rFonts w:hint="eastAsia" w:ascii="仿宋" w:hAnsi="仿宋" w:eastAsia="仿宋" w:cs="仿宋"/>
          <w:spacing w:val="-3"/>
          <w:sz w:val="32"/>
          <w:szCs w:val="32"/>
        </w:rPr>
        <w:t>编制和发布</w:t>
      </w:r>
      <w:r>
        <w:rPr>
          <w:rFonts w:hint="eastAsia" w:ascii="仿宋" w:hAnsi="仿宋" w:eastAsia="仿宋" w:cs="仿宋"/>
          <w:spacing w:val="-3"/>
          <w:sz w:val="32"/>
          <w:szCs w:val="32"/>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年度亮点</w:t>
      </w:r>
    </w:p>
    <w:p>
      <w:pPr>
        <w:keepNext w:val="0"/>
        <w:keepLines w:val="0"/>
        <w:pageBreakBefore w:val="0"/>
        <w:widowControl/>
        <w:suppressLineNumbers w:val="0"/>
        <w:kinsoku/>
        <w:wordWrap/>
        <w:overflowPunct/>
        <w:topLinePunct w:val="0"/>
        <w:autoSpaceDE w:val="0"/>
        <w:autoSpaceDN w:val="0"/>
        <w:bidi w:val="0"/>
        <w:adjustRightInd/>
        <w:snapToGrid/>
        <w:spacing w:line="560" w:lineRule="exact"/>
        <w:ind w:left="0" w:leftChars="0" w:right="0" w:rightChars="0" w:firstLine="620" w:firstLineChars="200"/>
        <w:jc w:val="left"/>
        <w:textAlignment w:val="auto"/>
        <w:outlineLvl w:val="9"/>
        <w:rPr>
          <w:rFonts w:hint="eastAsia" w:ascii="仿宋" w:hAnsi="仿宋" w:eastAsia="仿宋" w:cs="仿宋"/>
          <w:spacing w:val="3"/>
          <w:w w:val="95"/>
          <w:sz w:val="32"/>
          <w:szCs w:val="32"/>
          <w:lang w:val="en-US" w:eastAsia="zh-CN"/>
        </w:rPr>
        <w:sectPr>
          <w:footerReference r:id="rId9" w:type="default"/>
          <w:pgSz w:w="11906" w:h="16838"/>
          <w:pgMar w:top="1440" w:right="1587" w:bottom="1440" w:left="158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仿宋" w:hAnsi="仿宋" w:eastAsia="仿宋" w:cs="仿宋"/>
          <w:spacing w:val="3"/>
          <w:w w:val="95"/>
          <w:sz w:val="32"/>
          <w:szCs w:val="32"/>
          <w:lang w:val="en-US" w:eastAsia="zh-CN"/>
        </w:rPr>
        <w:t>在张家口市中小学田径运动会中，涿鹿职教中心成绩为全县高中组团体总分第一名。在涿鹿县第34届中小学田径运动会中成绩为全县高中组团体总分第一名。计算机专业与北京海玥文化传媒有限公司共同举行“影视传媒表演订单班”揭牌并招生，开启了产教融合的新模式。学校成功获批河北省2024-2026新型职业农民培养项目县实施单位。2024年原创图文信息、短视频210余篇部。</w:t>
      </w:r>
    </w:p>
    <w:p>
      <w:pPr>
        <w:keepNext w:val="0"/>
        <w:keepLines w:val="0"/>
        <w:pageBreakBefore w:val="0"/>
        <w:widowControl/>
        <w:suppressLineNumbers w:val="0"/>
        <w:kinsoku/>
        <w:wordWrap/>
        <w:overflowPunct/>
        <w:topLinePunct w:val="0"/>
        <w:autoSpaceDE w:val="0"/>
        <w:autoSpaceDN w:val="0"/>
        <w:bidi w:val="0"/>
        <w:adjustRightInd/>
        <w:snapToGrid/>
        <w:spacing w:line="560" w:lineRule="exact"/>
        <w:ind w:left="0" w:leftChars="0" w:right="0" w:rightChars="0" w:firstLine="620" w:firstLineChars="200"/>
        <w:jc w:val="left"/>
        <w:textAlignment w:val="auto"/>
        <w:outlineLvl w:val="9"/>
        <w:rPr>
          <w:rFonts w:hint="eastAsia" w:ascii="仿宋" w:hAnsi="仿宋" w:eastAsia="仿宋" w:cs="仿宋"/>
          <w:spacing w:val="3"/>
          <w:w w:val="95"/>
          <w:sz w:val="32"/>
          <w:szCs w:val="32"/>
          <w:lang w:val="en-US" w:eastAsia="zh-CN"/>
        </w:rPr>
      </w:pPr>
      <w:r>
        <w:rPr>
          <w:rFonts w:hint="eastAsia" w:ascii="仿宋" w:hAnsi="仿宋" w:eastAsia="仿宋" w:cs="仿宋"/>
          <w:spacing w:val="3"/>
          <w:w w:val="95"/>
          <w:sz w:val="32"/>
          <w:szCs w:val="32"/>
          <w:lang w:val="en-US" w:eastAsia="zh-CN"/>
        </w:rPr>
        <w:t>在市政府集约化平台、张家口新闻网、张家口日报和晚报、河山新闻等市级官网发布亮点新闻80余篇次。</w:t>
      </w:r>
    </w:p>
    <w:p>
      <w:pPr>
        <w:keepNext w:val="0"/>
        <w:keepLines w:val="0"/>
        <w:pageBreakBefore w:val="0"/>
        <w:widowControl/>
        <w:suppressLineNumbers w:val="0"/>
        <w:kinsoku/>
        <w:wordWrap/>
        <w:overflowPunct/>
        <w:topLinePunct w:val="0"/>
        <w:autoSpaceDE w:val="0"/>
        <w:autoSpaceDN w:val="0"/>
        <w:bidi w:val="0"/>
        <w:adjustRightInd/>
        <w:snapToGrid/>
        <w:spacing w:line="560" w:lineRule="exact"/>
        <w:ind w:left="0" w:leftChars="0" w:right="0" w:rightChars="0" w:firstLine="620" w:firstLineChars="200"/>
        <w:jc w:val="left"/>
        <w:textAlignment w:val="auto"/>
        <w:outlineLvl w:val="9"/>
        <w:rPr>
          <w:rFonts w:hint="default" w:ascii="仿宋" w:hAnsi="仿宋" w:eastAsia="仿宋" w:cs="仿宋"/>
          <w:spacing w:val="3"/>
          <w:w w:val="95"/>
          <w:sz w:val="32"/>
          <w:szCs w:val="32"/>
          <w:lang w:val="en-US" w:eastAsia="zh-CN"/>
        </w:rPr>
      </w:pPr>
      <w:r>
        <w:rPr>
          <w:rFonts w:hint="eastAsia" w:ascii="仿宋" w:hAnsi="仿宋" w:eastAsia="仿宋" w:cs="仿宋"/>
          <w:spacing w:val="3"/>
          <w:w w:val="95"/>
          <w:sz w:val="32"/>
          <w:szCs w:val="32"/>
          <w:lang w:val="en-US" w:eastAsia="zh-CN"/>
        </w:rPr>
        <w:t>涿鹿职教中心被市教育局和市安委办授予县区唯一一所国家安全教育实验学校，还被市教育局授予年网络安全和信息化工作先进集体。涿鹿开放大学获教育教学管理先进单位，招生工作先进单位。被县教体局授予美育工作先进集体、信息宣传工作突出单位。在涿鹿县委网信办组织的2024年“网络中国年·端午”网络创意作品比赛中，荣获优秀组织奖。</w:t>
      </w:r>
    </w:p>
    <w:p>
      <w:pPr>
        <w:jc w:val="center"/>
        <w:rPr>
          <w:rFonts w:hint="default" w:ascii="宋体" w:hAnsi="宋体" w:eastAsia="宋体" w:cs="宋体"/>
          <w:b/>
          <w:bCs/>
          <w:kern w:val="2"/>
          <w:sz w:val="44"/>
          <w:szCs w:val="44"/>
          <w:lang w:val="en-US" w:eastAsia="zh-CN" w:bidi="ar-SA"/>
        </w:rPr>
      </w:pPr>
    </w:p>
    <w:p>
      <w:pPr>
        <w:jc w:val="center"/>
        <w:rPr>
          <w:rFonts w:hint="default" w:ascii="宋体" w:hAnsi="宋体" w:eastAsia="宋体" w:cs="宋体"/>
          <w:b/>
          <w:bCs/>
          <w:kern w:val="2"/>
          <w:sz w:val="44"/>
          <w:szCs w:val="44"/>
          <w:lang w:val="en-US" w:eastAsia="zh-CN" w:bidi="ar-SA"/>
        </w:rPr>
        <w:sectPr>
          <w:footerReference r:id="rId10" w:type="default"/>
          <w:pgSz w:w="11906" w:h="16838"/>
          <w:pgMar w:top="1440" w:right="1587" w:bottom="1440" w:left="158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21"/>
        <w:tabs>
          <w:tab w:val="right" w:leader="dot" w:pos="8732"/>
        </w:tabs>
        <w:jc w:val="center"/>
        <w:rPr>
          <w:rFonts w:hint="eastAsia" w:ascii="宋体" w:hAnsi="宋体" w:eastAsia="宋体" w:cs="宋体"/>
          <w:b/>
          <w:bCs/>
          <w:sz w:val="44"/>
          <w:szCs w:val="44"/>
          <w:lang w:val="en-US" w:eastAsia="zh-CN"/>
        </w:rPr>
      </w:pPr>
      <w:r>
        <w:rPr>
          <w:rFonts w:hint="eastAsia" w:ascii="宋体" w:hAnsi="宋体" w:cs="宋体"/>
          <w:b/>
          <w:bCs/>
          <w:sz w:val="44"/>
          <w:szCs w:val="44"/>
          <w:lang w:val="en-US" w:eastAsia="zh-CN"/>
        </w:rPr>
        <w:t>目录</w:t>
      </w:r>
    </w:p>
    <w:p>
      <w:pPr>
        <w:pStyle w:val="20"/>
        <w:tabs>
          <w:tab w:val="right" w:leader="dot" w:pos="8732"/>
        </w:tabs>
        <w:rPr>
          <w:rFonts w:hint="eastAsia" w:ascii="仿宋" w:hAnsi="仿宋" w:eastAsia="仿宋" w:cs="仿宋"/>
          <w:bCs/>
          <w:kern w:val="2"/>
          <w:szCs w:val="24"/>
          <w:lang w:val="en-US" w:eastAsia="zh-CN" w:bidi="ar-SA"/>
        </w:rPr>
      </w:pPr>
    </w:p>
    <w:sdt>
      <w:sdtPr>
        <w:rPr>
          <w:rFonts w:ascii="宋体" w:hAnsi="宋体" w:eastAsia="宋体" w:cs="Times New Roman"/>
          <w:kern w:val="2"/>
          <w:sz w:val="21"/>
          <w:szCs w:val="22"/>
          <w:lang w:val="en-US" w:eastAsia="zh-CN" w:bidi="ar-SA"/>
        </w:rPr>
        <w:id w:val="147461407"/>
        <w15:color w:val="DBDBDB"/>
        <w:docPartObj>
          <w:docPartGallery w:val="Table of Contents"/>
          <w:docPartUnique/>
        </w:docPartObj>
      </w:sdtPr>
      <w:sdtEndPr>
        <w:rPr>
          <w:rFonts w:hint="eastAsia" w:ascii="宋体" w:hAnsi="宋体" w:eastAsia="宋体" w:cs="宋体"/>
          <w:bCs/>
          <w:kern w:val="2"/>
          <w:sz w:val="21"/>
          <w:szCs w:val="30"/>
          <w:lang w:val="en-US" w:eastAsia="zh-CN" w:bidi="ar-SA"/>
        </w:rPr>
      </w:sdtEndPr>
      <w:sdtContent>
        <w:p>
          <w:pPr>
            <w:spacing w:before="0" w:beforeLines="0" w:after="0" w:afterLines="0" w:line="240" w:lineRule="auto"/>
            <w:ind w:left="0" w:leftChars="0" w:right="0" w:rightChars="0" w:firstLine="0" w:firstLineChars="0"/>
            <w:jc w:val="center"/>
          </w:pPr>
        </w:p>
        <w:p>
          <w:pPr>
            <w:pStyle w:val="21"/>
            <w:tabs>
              <w:tab w:val="right" w:leader="dot" w:pos="8732"/>
            </w:tabs>
          </w:pPr>
          <w:r>
            <w:rPr>
              <w:rFonts w:hint="eastAsia" w:ascii="宋体" w:hAnsi="宋体" w:cs="宋体"/>
              <w:b/>
              <w:bCs/>
              <w:sz w:val="30"/>
              <w:szCs w:val="30"/>
              <w:lang w:val="en-US" w:eastAsia="zh-CN"/>
            </w:rPr>
            <w:fldChar w:fldCharType="begin"/>
          </w:r>
          <w:r>
            <w:rPr>
              <w:rFonts w:hint="eastAsia" w:ascii="宋体" w:hAnsi="宋体" w:cs="宋体"/>
              <w:b/>
              <w:bCs/>
              <w:sz w:val="30"/>
              <w:szCs w:val="30"/>
              <w:lang w:val="en-US" w:eastAsia="zh-CN"/>
            </w:rPr>
            <w:instrText xml:space="preserve">TOC \o "1-3" \h \u </w:instrText>
          </w:r>
          <w:r>
            <w:rPr>
              <w:rFonts w:hint="eastAsia" w:ascii="宋体" w:hAnsi="宋体" w:cs="宋体"/>
              <w:b/>
              <w:bCs/>
              <w:sz w:val="30"/>
              <w:szCs w:val="30"/>
              <w:lang w:val="en-US" w:eastAsia="zh-CN"/>
            </w:rPr>
            <w:fldChar w:fldCharType="separate"/>
          </w: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_Toc26363 </w:instrText>
          </w:r>
          <w:r>
            <w:rPr>
              <w:rFonts w:hint="eastAsia" w:ascii="宋体" w:hAnsi="宋体" w:cs="宋体"/>
              <w:bCs/>
              <w:szCs w:val="30"/>
              <w:lang w:val="en-US" w:eastAsia="zh-CN"/>
            </w:rPr>
            <w:fldChar w:fldCharType="separate"/>
          </w:r>
          <w:r>
            <w:rPr>
              <w:rFonts w:hint="eastAsia"/>
              <w:bCs/>
              <w:lang w:val="en-US" w:eastAsia="zh-CN"/>
            </w:rPr>
            <w:t>一、</w:t>
          </w:r>
          <w:r>
            <w:rPr>
              <w:rFonts w:hint="eastAsia"/>
              <w:bCs/>
            </w:rPr>
            <w:t>学校基本情况</w:t>
          </w:r>
          <w:r>
            <w:tab/>
          </w:r>
          <w:r>
            <w:fldChar w:fldCharType="begin"/>
          </w:r>
          <w:r>
            <w:instrText xml:space="preserve"> PAGEREF _Toc26363 \h </w:instrText>
          </w:r>
          <w:r>
            <w:fldChar w:fldCharType="separate"/>
          </w:r>
          <w:r>
            <w:t>1</w:t>
          </w:r>
          <w:r>
            <w:fldChar w:fldCharType="end"/>
          </w:r>
          <w:r>
            <w:rPr>
              <w:rFonts w:hint="eastAsia" w:ascii="宋体" w:hAnsi="宋体" w:cs="宋体"/>
              <w:bCs/>
              <w:szCs w:val="30"/>
              <w:lang w:val="en-US" w:eastAsia="zh-CN"/>
            </w:rPr>
            <w:fldChar w:fldCharType="end"/>
          </w:r>
        </w:p>
        <w:p>
          <w:pPr>
            <w:pStyle w:val="21"/>
            <w:tabs>
              <w:tab w:val="right" w:leader="dot" w:pos="8732"/>
            </w:tabs>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_Toc16897 </w:instrText>
          </w:r>
          <w:r>
            <w:rPr>
              <w:rFonts w:hint="eastAsia" w:ascii="宋体" w:hAnsi="宋体" w:cs="宋体"/>
              <w:bCs/>
              <w:szCs w:val="30"/>
              <w:lang w:val="en-US" w:eastAsia="zh-CN"/>
            </w:rPr>
            <w:fldChar w:fldCharType="separate"/>
          </w:r>
          <w:r>
            <w:rPr>
              <w:rFonts w:hint="eastAsia" w:ascii="楷体" w:hAnsi="楷体" w:eastAsia="楷体" w:cs="楷体"/>
              <w:bCs/>
              <w:kern w:val="2"/>
              <w:szCs w:val="22"/>
              <w:lang w:val="en-US" w:eastAsia="zh-CN" w:bidi="ar-SA"/>
            </w:rPr>
            <w:t>（一）学校概况</w:t>
          </w:r>
          <w:r>
            <w:tab/>
          </w:r>
          <w:r>
            <w:fldChar w:fldCharType="begin"/>
          </w:r>
          <w:r>
            <w:instrText xml:space="preserve"> PAGEREF _Toc16897 \h </w:instrText>
          </w:r>
          <w:r>
            <w:fldChar w:fldCharType="separate"/>
          </w:r>
          <w:r>
            <w:t>1</w:t>
          </w:r>
          <w:r>
            <w:fldChar w:fldCharType="end"/>
          </w:r>
          <w:r>
            <w:rPr>
              <w:rFonts w:hint="eastAsia" w:ascii="宋体" w:hAnsi="宋体" w:cs="宋体"/>
              <w:bCs/>
              <w:szCs w:val="30"/>
              <w:lang w:val="en-US" w:eastAsia="zh-CN"/>
            </w:rPr>
            <w:fldChar w:fldCharType="end"/>
          </w:r>
        </w:p>
        <w:p>
          <w:pPr>
            <w:pStyle w:val="21"/>
            <w:tabs>
              <w:tab w:val="right" w:leader="dot" w:pos="8732"/>
            </w:tabs>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_Toc6607 </w:instrText>
          </w:r>
          <w:r>
            <w:rPr>
              <w:rFonts w:hint="eastAsia" w:ascii="宋体" w:hAnsi="宋体" w:cs="宋体"/>
              <w:bCs/>
              <w:szCs w:val="30"/>
              <w:lang w:val="en-US" w:eastAsia="zh-CN"/>
            </w:rPr>
            <w:fldChar w:fldCharType="separate"/>
          </w:r>
          <w:r>
            <w:rPr>
              <w:rFonts w:hint="eastAsia" w:ascii="楷体" w:hAnsi="楷体" w:eastAsia="楷体" w:cs="楷体"/>
              <w:bCs/>
              <w:kern w:val="2"/>
              <w:szCs w:val="22"/>
              <w:lang w:val="en-US" w:eastAsia="zh-CN" w:bidi="ar-SA"/>
            </w:rPr>
            <w:t>（二）学生情况</w:t>
          </w:r>
          <w:r>
            <w:tab/>
          </w:r>
          <w:r>
            <w:fldChar w:fldCharType="begin"/>
          </w:r>
          <w:r>
            <w:instrText xml:space="preserve"> PAGEREF _Toc6607 \h </w:instrText>
          </w:r>
          <w:r>
            <w:fldChar w:fldCharType="separate"/>
          </w:r>
          <w:r>
            <w:t>2</w:t>
          </w:r>
          <w:r>
            <w:fldChar w:fldCharType="end"/>
          </w:r>
          <w:r>
            <w:rPr>
              <w:rFonts w:hint="eastAsia" w:ascii="宋体" w:hAnsi="宋体" w:cs="宋体"/>
              <w:bCs/>
              <w:szCs w:val="30"/>
              <w:lang w:val="en-US" w:eastAsia="zh-CN"/>
            </w:rPr>
            <w:fldChar w:fldCharType="end"/>
          </w:r>
        </w:p>
        <w:p>
          <w:pPr>
            <w:pStyle w:val="21"/>
            <w:tabs>
              <w:tab w:val="right" w:leader="dot" w:pos="8732"/>
            </w:tabs>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_Toc11123 </w:instrText>
          </w:r>
          <w:r>
            <w:rPr>
              <w:rFonts w:hint="eastAsia" w:ascii="宋体" w:hAnsi="宋体" w:cs="宋体"/>
              <w:bCs/>
              <w:szCs w:val="30"/>
              <w:lang w:val="en-US" w:eastAsia="zh-CN"/>
            </w:rPr>
            <w:fldChar w:fldCharType="separate"/>
          </w:r>
          <w:r>
            <w:rPr>
              <w:rFonts w:hint="eastAsia" w:ascii="楷体" w:hAnsi="楷体" w:eastAsia="楷体" w:cs="楷体"/>
              <w:bCs/>
              <w:kern w:val="2"/>
              <w:szCs w:val="22"/>
              <w:lang w:val="en-US" w:eastAsia="zh-CN" w:bidi="ar-SA"/>
            </w:rPr>
            <w:t>（三）教师队伍</w:t>
          </w:r>
          <w:r>
            <w:tab/>
          </w:r>
          <w:r>
            <w:fldChar w:fldCharType="begin"/>
          </w:r>
          <w:r>
            <w:instrText xml:space="preserve"> PAGEREF _Toc11123 \h </w:instrText>
          </w:r>
          <w:r>
            <w:fldChar w:fldCharType="separate"/>
          </w:r>
          <w:r>
            <w:t>3</w:t>
          </w:r>
          <w:r>
            <w:fldChar w:fldCharType="end"/>
          </w:r>
          <w:r>
            <w:rPr>
              <w:rFonts w:hint="eastAsia" w:ascii="宋体" w:hAnsi="宋体" w:cs="宋体"/>
              <w:bCs/>
              <w:szCs w:val="30"/>
              <w:lang w:val="en-US" w:eastAsia="zh-CN"/>
            </w:rPr>
            <w:fldChar w:fldCharType="end"/>
          </w:r>
        </w:p>
        <w:p>
          <w:pPr>
            <w:pStyle w:val="21"/>
            <w:tabs>
              <w:tab w:val="right" w:leader="dot" w:pos="8732"/>
            </w:tabs>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_Toc28753 </w:instrText>
          </w:r>
          <w:r>
            <w:rPr>
              <w:rFonts w:hint="eastAsia" w:ascii="宋体" w:hAnsi="宋体" w:cs="宋体"/>
              <w:bCs/>
              <w:szCs w:val="30"/>
              <w:lang w:val="en-US" w:eastAsia="zh-CN"/>
            </w:rPr>
            <w:fldChar w:fldCharType="separate"/>
          </w:r>
          <w:r>
            <w:rPr>
              <w:rFonts w:hint="eastAsia" w:ascii="楷体" w:hAnsi="楷体" w:eastAsia="楷体" w:cs="楷体"/>
              <w:bCs/>
              <w:kern w:val="2"/>
              <w:szCs w:val="22"/>
              <w:lang w:val="en-US" w:eastAsia="zh-CN" w:bidi="ar-SA"/>
            </w:rPr>
            <w:t>（四）设施设备</w:t>
          </w:r>
          <w:r>
            <w:tab/>
          </w:r>
          <w:r>
            <w:fldChar w:fldCharType="begin"/>
          </w:r>
          <w:r>
            <w:instrText xml:space="preserve"> PAGEREF _Toc28753 \h </w:instrText>
          </w:r>
          <w:r>
            <w:fldChar w:fldCharType="separate"/>
          </w:r>
          <w:r>
            <w:t>3</w:t>
          </w:r>
          <w:r>
            <w:fldChar w:fldCharType="end"/>
          </w:r>
          <w:r>
            <w:rPr>
              <w:rFonts w:hint="eastAsia" w:ascii="宋体" w:hAnsi="宋体" w:cs="宋体"/>
              <w:bCs/>
              <w:szCs w:val="30"/>
              <w:lang w:val="en-US" w:eastAsia="zh-CN"/>
            </w:rPr>
            <w:fldChar w:fldCharType="end"/>
          </w:r>
        </w:p>
        <w:p>
          <w:pPr>
            <w:pStyle w:val="21"/>
            <w:tabs>
              <w:tab w:val="right" w:leader="dot" w:pos="8732"/>
            </w:tabs>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_Toc9606 </w:instrText>
          </w:r>
          <w:r>
            <w:rPr>
              <w:rFonts w:hint="eastAsia" w:ascii="宋体" w:hAnsi="宋体" w:cs="宋体"/>
              <w:bCs/>
              <w:szCs w:val="30"/>
              <w:lang w:val="en-US" w:eastAsia="zh-CN"/>
            </w:rPr>
            <w:fldChar w:fldCharType="separate"/>
          </w:r>
          <w:r>
            <w:rPr>
              <w:rFonts w:hint="eastAsia"/>
              <w:bCs/>
              <w:lang w:val="en-US" w:eastAsia="zh-CN"/>
            </w:rPr>
            <w:t>二、人才培养</w:t>
          </w:r>
          <w:r>
            <w:tab/>
          </w:r>
          <w:r>
            <w:fldChar w:fldCharType="begin"/>
          </w:r>
          <w:r>
            <w:instrText xml:space="preserve"> PAGEREF _Toc9606 \h </w:instrText>
          </w:r>
          <w:r>
            <w:fldChar w:fldCharType="separate"/>
          </w:r>
          <w:r>
            <w:t>4</w:t>
          </w:r>
          <w:r>
            <w:fldChar w:fldCharType="end"/>
          </w:r>
          <w:r>
            <w:rPr>
              <w:rFonts w:hint="eastAsia" w:ascii="宋体" w:hAnsi="宋体" w:cs="宋体"/>
              <w:bCs/>
              <w:szCs w:val="30"/>
              <w:lang w:val="en-US" w:eastAsia="zh-CN"/>
            </w:rPr>
            <w:fldChar w:fldCharType="end"/>
          </w:r>
        </w:p>
        <w:p>
          <w:pPr>
            <w:pStyle w:val="21"/>
            <w:tabs>
              <w:tab w:val="right" w:leader="dot" w:pos="8732"/>
            </w:tabs>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_Toc26343 </w:instrText>
          </w:r>
          <w:r>
            <w:rPr>
              <w:rFonts w:hint="eastAsia" w:ascii="宋体" w:hAnsi="宋体" w:cs="宋体"/>
              <w:bCs/>
              <w:szCs w:val="30"/>
              <w:lang w:val="en-US" w:eastAsia="zh-CN"/>
            </w:rPr>
            <w:fldChar w:fldCharType="separate"/>
          </w:r>
          <w:r>
            <w:rPr>
              <w:rFonts w:hint="eastAsia" w:ascii="楷体" w:hAnsi="楷体" w:eastAsia="楷体" w:cs="楷体"/>
              <w:bCs/>
              <w:kern w:val="2"/>
              <w:szCs w:val="22"/>
              <w:lang w:val="en-US" w:eastAsia="zh-CN" w:bidi="ar-SA"/>
            </w:rPr>
            <w:t>（一）学生发展</w:t>
          </w:r>
          <w:r>
            <w:tab/>
          </w:r>
          <w:r>
            <w:fldChar w:fldCharType="begin"/>
          </w:r>
          <w:r>
            <w:instrText xml:space="preserve"> PAGEREF _Toc26343 \h </w:instrText>
          </w:r>
          <w:r>
            <w:fldChar w:fldCharType="separate"/>
          </w:r>
          <w:r>
            <w:t>4</w:t>
          </w:r>
          <w:r>
            <w:fldChar w:fldCharType="end"/>
          </w:r>
          <w:r>
            <w:rPr>
              <w:rFonts w:hint="eastAsia" w:ascii="宋体" w:hAnsi="宋体" w:cs="宋体"/>
              <w:bCs/>
              <w:szCs w:val="30"/>
              <w:lang w:val="en-US" w:eastAsia="zh-CN"/>
            </w:rPr>
            <w:fldChar w:fldCharType="end"/>
          </w:r>
        </w:p>
        <w:p>
          <w:pPr>
            <w:pStyle w:val="21"/>
            <w:tabs>
              <w:tab w:val="right" w:leader="dot" w:pos="8732"/>
            </w:tabs>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_Toc31350 </w:instrText>
          </w:r>
          <w:r>
            <w:rPr>
              <w:rFonts w:hint="eastAsia" w:ascii="宋体" w:hAnsi="宋体" w:cs="宋体"/>
              <w:bCs/>
              <w:szCs w:val="30"/>
              <w:lang w:val="en-US" w:eastAsia="zh-CN"/>
            </w:rPr>
            <w:fldChar w:fldCharType="separate"/>
          </w:r>
          <w:r>
            <w:rPr>
              <w:rFonts w:hint="eastAsia" w:ascii="楷体" w:hAnsi="楷体" w:eastAsia="楷体" w:cs="楷体"/>
              <w:bCs/>
              <w:kern w:val="2"/>
              <w:szCs w:val="22"/>
              <w:lang w:val="en-US" w:eastAsia="zh-CN" w:bidi="ar-SA"/>
            </w:rPr>
            <w:t>（二）教育教学</w:t>
          </w:r>
          <w:r>
            <w:tab/>
          </w:r>
          <w:r>
            <w:fldChar w:fldCharType="begin"/>
          </w:r>
          <w:r>
            <w:instrText xml:space="preserve"> PAGEREF _Toc31350 \h </w:instrText>
          </w:r>
          <w:r>
            <w:fldChar w:fldCharType="separate"/>
          </w:r>
          <w:r>
            <w:t>15</w:t>
          </w:r>
          <w:r>
            <w:fldChar w:fldCharType="end"/>
          </w:r>
          <w:r>
            <w:rPr>
              <w:rFonts w:hint="eastAsia" w:ascii="宋体" w:hAnsi="宋体" w:cs="宋体"/>
              <w:bCs/>
              <w:szCs w:val="30"/>
              <w:lang w:val="en-US" w:eastAsia="zh-CN"/>
            </w:rPr>
            <w:fldChar w:fldCharType="end"/>
          </w:r>
        </w:p>
        <w:p>
          <w:pPr>
            <w:pStyle w:val="21"/>
            <w:tabs>
              <w:tab w:val="right" w:leader="dot" w:pos="8732"/>
            </w:tabs>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_Toc2208 </w:instrText>
          </w:r>
          <w:r>
            <w:rPr>
              <w:rFonts w:hint="eastAsia" w:ascii="宋体" w:hAnsi="宋体" w:cs="宋体"/>
              <w:bCs/>
              <w:szCs w:val="30"/>
              <w:lang w:val="en-US" w:eastAsia="zh-CN"/>
            </w:rPr>
            <w:fldChar w:fldCharType="separate"/>
          </w:r>
          <w:r>
            <w:rPr>
              <w:rFonts w:hint="eastAsia"/>
              <w:bCs/>
              <w:lang w:val="en-US" w:eastAsia="zh-CN"/>
            </w:rPr>
            <w:t>三、服务贡献</w:t>
          </w:r>
          <w:r>
            <w:tab/>
          </w:r>
          <w:r>
            <w:fldChar w:fldCharType="begin"/>
          </w:r>
          <w:r>
            <w:instrText xml:space="preserve"> PAGEREF _Toc2208 \h </w:instrText>
          </w:r>
          <w:r>
            <w:fldChar w:fldCharType="separate"/>
          </w:r>
          <w:r>
            <w:t>21</w:t>
          </w:r>
          <w:r>
            <w:fldChar w:fldCharType="end"/>
          </w:r>
          <w:r>
            <w:rPr>
              <w:rFonts w:hint="eastAsia" w:ascii="宋体" w:hAnsi="宋体" w:cs="宋体"/>
              <w:bCs/>
              <w:szCs w:val="30"/>
              <w:lang w:val="en-US" w:eastAsia="zh-CN"/>
            </w:rPr>
            <w:fldChar w:fldCharType="end"/>
          </w:r>
        </w:p>
        <w:p>
          <w:pPr>
            <w:pStyle w:val="13"/>
            <w:tabs>
              <w:tab w:val="right" w:leader="dot" w:pos="8732"/>
            </w:tabs>
            <w:ind w:left="0" w:leftChars="0" w:firstLine="420" w:firstLineChars="200"/>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_Toc21455 </w:instrText>
          </w:r>
          <w:r>
            <w:rPr>
              <w:rFonts w:hint="eastAsia" w:ascii="宋体" w:hAnsi="宋体" w:cs="宋体"/>
              <w:bCs/>
              <w:szCs w:val="30"/>
              <w:lang w:val="en-US" w:eastAsia="zh-CN"/>
            </w:rPr>
            <w:fldChar w:fldCharType="separate"/>
          </w:r>
          <w:r>
            <w:rPr>
              <w:rFonts w:hint="eastAsia" w:ascii="楷体" w:hAnsi="楷体" w:eastAsia="楷体" w:cs="楷体"/>
              <w:bCs/>
              <w:lang w:val="en-US" w:eastAsia="zh-CN"/>
            </w:rPr>
            <w:t>（一）服务行业企业</w:t>
          </w:r>
          <w:r>
            <w:tab/>
          </w:r>
          <w:r>
            <w:fldChar w:fldCharType="begin"/>
          </w:r>
          <w:r>
            <w:instrText xml:space="preserve"> PAGEREF _Toc21455 \h </w:instrText>
          </w:r>
          <w:r>
            <w:fldChar w:fldCharType="separate"/>
          </w:r>
          <w:r>
            <w:t>21</w:t>
          </w:r>
          <w:r>
            <w:fldChar w:fldCharType="end"/>
          </w:r>
          <w:r>
            <w:rPr>
              <w:rFonts w:hint="eastAsia" w:ascii="宋体" w:hAnsi="宋体" w:cs="宋体"/>
              <w:bCs/>
              <w:szCs w:val="30"/>
              <w:lang w:val="en-US" w:eastAsia="zh-CN"/>
            </w:rPr>
            <w:fldChar w:fldCharType="end"/>
          </w:r>
        </w:p>
        <w:p>
          <w:pPr>
            <w:pStyle w:val="13"/>
            <w:tabs>
              <w:tab w:val="right" w:leader="dot" w:pos="8732"/>
            </w:tabs>
            <w:ind w:left="0" w:leftChars="0" w:firstLine="420" w:firstLineChars="200"/>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_Toc24746 </w:instrText>
          </w:r>
          <w:r>
            <w:rPr>
              <w:rFonts w:hint="eastAsia" w:ascii="宋体" w:hAnsi="宋体" w:cs="宋体"/>
              <w:bCs/>
              <w:szCs w:val="30"/>
              <w:lang w:val="en-US" w:eastAsia="zh-CN"/>
            </w:rPr>
            <w:fldChar w:fldCharType="separate"/>
          </w:r>
          <w:r>
            <w:rPr>
              <w:rFonts w:hint="eastAsia" w:ascii="楷体" w:hAnsi="楷体" w:eastAsia="楷体" w:cs="楷体"/>
              <w:bCs/>
              <w:lang w:val="en-US" w:eastAsia="zh-CN"/>
            </w:rPr>
            <w:t>（二）服务乡村振兴</w:t>
          </w:r>
          <w:r>
            <w:tab/>
          </w:r>
          <w:r>
            <w:fldChar w:fldCharType="begin"/>
          </w:r>
          <w:r>
            <w:instrText xml:space="preserve"> PAGEREF _Toc24746 \h </w:instrText>
          </w:r>
          <w:r>
            <w:fldChar w:fldCharType="separate"/>
          </w:r>
          <w:r>
            <w:t>21</w:t>
          </w:r>
          <w:r>
            <w:fldChar w:fldCharType="end"/>
          </w:r>
          <w:r>
            <w:rPr>
              <w:rFonts w:hint="eastAsia" w:ascii="宋体" w:hAnsi="宋体" w:cs="宋体"/>
              <w:bCs/>
              <w:szCs w:val="30"/>
              <w:lang w:val="en-US" w:eastAsia="zh-CN"/>
            </w:rPr>
            <w:fldChar w:fldCharType="end"/>
          </w:r>
        </w:p>
        <w:p>
          <w:pPr>
            <w:pStyle w:val="21"/>
            <w:tabs>
              <w:tab w:val="right" w:leader="dot" w:pos="8732"/>
            </w:tabs>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_Toc16528 </w:instrText>
          </w:r>
          <w:r>
            <w:rPr>
              <w:rFonts w:hint="eastAsia" w:ascii="宋体" w:hAnsi="宋体" w:cs="宋体"/>
              <w:bCs/>
              <w:szCs w:val="30"/>
              <w:lang w:val="en-US" w:eastAsia="zh-CN"/>
            </w:rPr>
            <w:fldChar w:fldCharType="separate"/>
          </w:r>
          <w:r>
            <w:rPr>
              <w:rFonts w:hint="eastAsia" w:ascii="楷体" w:hAnsi="楷体" w:eastAsia="楷体" w:cs="楷体"/>
              <w:bCs/>
              <w:lang w:val="en-US" w:eastAsia="zh-CN"/>
            </w:rPr>
            <w:t>（三）服务地方社区</w:t>
          </w:r>
          <w:r>
            <w:tab/>
          </w:r>
          <w:r>
            <w:fldChar w:fldCharType="begin"/>
          </w:r>
          <w:r>
            <w:instrText xml:space="preserve"> PAGEREF _Toc16528 \h </w:instrText>
          </w:r>
          <w:r>
            <w:fldChar w:fldCharType="separate"/>
          </w:r>
          <w:r>
            <w:t>29</w:t>
          </w:r>
          <w:r>
            <w:fldChar w:fldCharType="end"/>
          </w:r>
          <w:r>
            <w:rPr>
              <w:rFonts w:hint="eastAsia" w:ascii="宋体" w:hAnsi="宋体" w:cs="宋体"/>
              <w:bCs/>
              <w:szCs w:val="30"/>
              <w:lang w:val="en-US" w:eastAsia="zh-CN"/>
            </w:rPr>
            <w:fldChar w:fldCharType="end"/>
          </w:r>
        </w:p>
        <w:p>
          <w:pPr>
            <w:pStyle w:val="21"/>
            <w:tabs>
              <w:tab w:val="right" w:leader="dot" w:pos="8732"/>
            </w:tabs>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_Toc22637 </w:instrText>
          </w:r>
          <w:r>
            <w:rPr>
              <w:rFonts w:hint="eastAsia" w:ascii="宋体" w:hAnsi="宋体" w:cs="宋体"/>
              <w:bCs/>
              <w:szCs w:val="30"/>
              <w:lang w:val="en-US" w:eastAsia="zh-CN"/>
            </w:rPr>
            <w:fldChar w:fldCharType="separate"/>
          </w:r>
          <w:r>
            <w:rPr>
              <w:rFonts w:hint="eastAsia" w:ascii="楷体" w:hAnsi="楷体" w:eastAsia="楷体" w:cs="楷体"/>
              <w:bCs/>
              <w:kern w:val="2"/>
              <w:szCs w:val="22"/>
              <w:lang w:val="en-US" w:eastAsia="zh-CN" w:bidi="ar-SA"/>
            </w:rPr>
            <w:t>（四）具有本校特色的服务</w:t>
          </w:r>
          <w:r>
            <w:tab/>
          </w:r>
          <w:r>
            <w:fldChar w:fldCharType="begin"/>
          </w:r>
          <w:r>
            <w:instrText xml:space="preserve"> PAGEREF _Toc22637 \h </w:instrText>
          </w:r>
          <w:r>
            <w:fldChar w:fldCharType="separate"/>
          </w:r>
          <w:r>
            <w:t>30</w:t>
          </w:r>
          <w:r>
            <w:fldChar w:fldCharType="end"/>
          </w:r>
          <w:r>
            <w:rPr>
              <w:rFonts w:hint="eastAsia" w:ascii="宋体" w:hAnsi="宋体" w:cs="宋体"/>
              <w:bCs/>
              <w:szCs w:val="30"/>
              <w:lang w:val="en-US" w:eastAsia="zh-CN"/>
            </w:rPr>
            <w:fldChar w:fldCharType="end"/>
          </w:r>
        </w:p>
        <w:p>
          <w:pPr>
            <w:pStyle w:val="21"/>
            <w:tabs>
              <w:tab w:val="right" w:leader="dot" w:pos="8732"/>
            </w:tabs>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_Toc18779 </w:instrText>
          </w:r>
          <w:r>
            <w:rPr>
              <w:rFonts w:hint="eastAsia" w:ascii="宋体" w:hAnsi="宋体" w:cs="宋体"/>
              <w:bCs/>
              <w:szCs w:val="30"/>
              <w:lang w:val="en-US" w:eastAsia="zh-CN"/>
            </w:rPr>
            <w:fldChar w:fldCharType="separate"/>
          </w:r>
          <w:r>
            <w:rPr>
              <w:rFonts w:hint="eastAsia"/>
              <w:bCs/>
              <w:lang w:val="en-US" w:eastAsia="zh-CN"/>
            </w:rPr>
            <w:t>四、文化传承</w:t>
          </w:r>
          <w:r>
            <w:tab/>
          </w:r>
          <w:r>
            <w:fldChar w:fldCharType="begin"/>
          </w:r>
          <w:r>
            <w:instrText xml:space="preserve"> PAGEREF _Toc18779 \h </w:instrText>
          </w:r>
          <w:r>
            <w:fldChar w:fldCharType="separate"/>
          </w:r>
          <w:r>
            <w:t>32</w:t>
          </w:r>
          <w:r>
            <w:fldChar w:fldCharType="end"/>
          </w:r>
          <w:r>
            <w:rPr>
              <w:rFonts w:hint="eastAsia" w:ascii="宋体" w:hAnsi="宋体" w:cs="宋体"/>
              <w:bCs/>
              <w:szCs w:val="30"/>
              <w:lang w:val="en-US" w:eastAsia="zh-CN"/>
            </w:rPr>
            <w:fldChar w:fldCharType="end"/>
          </w:r>
        </w:p>
        <w:p>
          <w:pPr>
            <w:pStyle w:val="21"/>
            <w:tabs>
              <w:tab w:val="right" w:leader="dot" w:pos="8732"/>
            </w:tabs>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_Toc28528 </w:instrText>
          </w:r>
          <w:r>
            <w:rPr>
              <w:rFonts w:hint="eastAsia" w:ascii="宋体" w:hAnsi="宋体" w:cs="宋体"/>
              <w:bCs/>
              <w:szCs w:val="30"/>
              <w:lang w:val="en-US" w:eastAsia="zh-CN"/>
            </w:rPr>
            <w:fldChar w:fldCharType="separate"/>
          </w:r>
          <w:r>
            <w:rPr>
              <w:rFonts w:hint="eastAsia" w:ascii="楷体" w:hAnsi="楷体" w:eastAsia="楷体" w:cs="楷体"/>
              <w:bCs/>
              <w:kern w:val="2"/>
              <w:szCs w:val="22"/>
              <w:lang w:val="en-US" w:eastAsia="zh-CN" w:bidi="ar-SA"/>
            </w:rPr>
            <w:t>（一）传承劳模精神、劳动精神、工匠精神</w:t>
          </w:r>
          <w:r>
            <w:tab/>
          </w:r>
          <w:r>
            <w:fldChar w:fldCharType="begin"/>
          </w:r>
          <w:r>
            <w:instrText xml:space="preserve"> PAGEREF _Toc28528 \h </w:instrText>
          </w:r>
          <w:r>
            <w:fldChar w:fldCharType="separate"/>
          </w:r>
          <w:r>
            <w:t>32</w:t>
          </w:r>
          <w:r>
            <w:fldChar w:fldCharType="end"/>
          </w:r>
          <w:r>
            <w:rPr>
              <w:rFonts w:hint="eastAsia" w:ascii="宋体" w:hAnsi="宋体" w:cs="宋体"/>
              <w:bCs/>
              <w:szCs w:val="30"/>
              <w:lang w:val="en-US" w:eastAsia="zh-CN"/>
            </w:rPr>
            <w:fldChar w:fldCharType="end"/>
          </w:r>
        </w:p>
        <w:p>
          <w:pPr>
            <w:pStyle w:val="21"/>
            <w:tabs>
              <w:tab w:val="right" w:leader="dot" w:pos="8732"/>
            </w:tabs>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_Toc27462 </w:instrText>
          </w:r>
          <w:r>
            <w:rPr>
              <w:rFonts w:hint="eastAsia" w:ascii="宋体" w:hAnsi="宋体" w:cs="宋体"/>
              <w:bCs/>
              <w:szCs w:val="30"/>
              <w:lang w:val="en-US" w:eastAsia="zh-CN"/>
            </w:rPr>
            <w:fldChar w:fldCharType="separate"/>
          </w:r>
          <w:r>
            <w:rPr>
              <w:rFonts w:hint="eastAsia" w:ascii="楷体" w:hAnsi="楷体" w:eastAsia="楷体" w:cs="楷体"/>
              <w:bCs/>
              <w:kern w:val="2"/>
              <w:szCs w:val="22"/>
              <w:lang w:val="en-US" w:eastAsia="zh-CN" w:bidi="ar-SA"/>
            </w:rPr>
            <w:t>（二）传承红色基因</w:t>
          </w:r>
          <w:r>
            <w:tab/>
          </w:r>
          <w:r>
            <w:fldChar w:fldCharType="begin"/>
          </w:r>
          <w:r>
            <w:instrText xml:space="preserve"> PAGEREF _Toc27462 \h </w:instrText>
          </w:r>
          <w:r>
            <w:fldChar w:fldCharType="separate"/>
          </w:r>
          <w:r>
            <w:t>34</w:t>
          </w:r>
          <w:r>
            <w:fldChar w:fldCharType="end"/>
          </w:r>
          <w:r>
            <w:rPr>
              <w:rFonts w:hint="eastAsia" w:ascii="宋体" w:hAnsi="宋体" w:cs="宋体"/>
              <w:bCs/>
              <w:szCs w:val="30"/>
              <w:lang w:val="en-US" w:eastAsia="zh-CN"/>
            </w:rPr>
            <w:fldChar w:fldCharType="end"/>
          </w:r>
        </w:p>
        <w:p>
          <w:pPr>
            <w:pStyle w:val="21"/>
            <w:tabs>
              <w:tab w:val="right" w:leader="dot" w:pos="8732"/>
            </w:tabs>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_Toc25460 </w:instrText>
          </w:r>
          <w:r>
            <w:rPr>
              <w:rFonts w:hint="eastAsia" w:ascii="宋体" w:hAnsi="宋体" w:cs="宋体"/>
              <w:bCs/>
              <w:szCs w:val="30"/>
              <w:lang w:val="en-US" w:eastAsia="zh-CN"/>
            </w:rPr>
            <w:fldChar w:fldCharType="separate"/>
          </w:r>
          <w:r>
            <w:rPr>
              <w:rFonts w:hint="eastAsia" w:ascii="楷体" w:hAnsi="楷体" w:eastAsia="楷体" w:cs="楷体"/>
              <w:bCs/>
              <w:kern w:val="2"/>
              <w:szCs w:val="22"/>
              <w:lang w:val="en-US" w:eastAsia="zh-CN" w:bidi="ar-SA"/>
            </w:rPr>
            <w:t>（三）传承中华优秀传统文化</w:t>
          </w:r>
          <w:r>
            <w:tab/>
          </w:r>
          <w:r>
            <w:fldChar w:fldCharType="begin"/>
          </w:r>
          <w:r>
            <w:instrText xml:space="preserve"> PAGEREF _Toc25460 \h </w:instrText>
          </w:r>
          <w:r>
            <w:fldChar w:fldCharType="separate"/>
          </w:r>
          <w:r>
            <w:t>40</w:t>
          </w:r>
          <w:r>
            <w:fldChar w:fldCharType="end"/>
          </w:r>
          <w:r>
            <w:rPr>
              <w:rFonts w:hint="eastAsia" w:ascii="宋体" w:hAnsi="宋体" w:cs="宋体"/>
              <w:bCs/>
              <w:szCs w:val="30"/>
              <w:lang w:val="en-US" w:eastAsia="zh-CN"/>
            </w:rPr>
            <w:fldChar w:fldCharType="end"/>
          </w:r>
        </w:p>
        <w:p>
          <w:pPr>
            <w:pStyle w:val="21"/>
            <w:tabs>
              <w:tab w:val="right" w:leader="dot" w:pos="8732"/>
            </w:tabs>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_Toc22022 </w:instrText>
          </w:r>
          <w:r>
            <w:rPr>
              <w:rFonts w:hint="eastAsia" w:ascii="宋体" w:hAnsi="宋体" w:cs="宋体"/>
              <w:bCs/>
              <w:szCs w:val="30"/>
              <w:lang w:val="en-US" w:eastAsia="zh-CN"/>
            </w:rPr>
            <w:fldChar w:fldCharType="separate"/>
          </w:r>
          <w:r>
            <w:rPr>
              <w:rFonts w:hint="eastAsia"/>
              <w:bCs/>
              <w:lang w:val="en-US" w:eastAsia="zh-CN"/>
            </w:rPr>
            <w:t>五、产教融合</w:t>
          </w:r>
          <w:r>
            <w:tab/>
          </w:r>
          <w:r>
            <w:fldChar w:fldCharType="begin"/>
          </w:r>
          <w:r>
            <w:instrText xml:space="preserve"> PAGEREF _Toc22022 \h </w:instrText>
          </w:r>
          <w:r>
            <w:fldChar w:fldCharType="separate"/>
          </w:r>
          <w:r>
            <w:t>46</w:t>
          </w:r>
          <w:r>
            <w:fldChar w:fldCharType="end"/>
          </w:r>
          <w:r>
            <w:rPr>
              <w:rFonts w:hint="eastAsia" w:ascii="宋体" w:hAnsi="宋体" w:cs="宋体"/>
              <w:bCs/>
              <w:szCs w:val="30"/>
              <w:lang w:val="en-US" w:eastAsia="zh-CN"/>
            </w:rPr>
            <w:fldChar w:fldCharType="end"/>
          </w:r>
        </w:p>
        <w:p>
          <w:pPr>
            <w:pStyle w:val="21"/>
            <w:tabs>
              <w:tab w:val="right" w:leader="dot" w:pos="8732"/>
            </w:tabs>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_Toc21103 </w:instrText>
          </w:r>
          <w:r>
            <w:rPr>
              <w:rFonts w:hint="eastAsia" w:ascii="宋体" w:hAnsi="宋体" w:cs="宋体"/>
              <w:bCs/>
              <w:szCs w:val="30"/>
              <w:lang w:val="en-US" w:eastAsia="zh-CN"/>
            </w:rPr>
            <w:fldChar w:fldCharType="separate"/>
          </w:r>
          <w:r>
            <w:rPr>
              <w:rFonts w:hint="eastAsia" w:ascii="楷体" w:hAnsi="楷体" w:eastAsia="楷体" w:cs="楷体"/>
              <w:bCs/>
              <w:kern w:val="2"/>
              <w:szCs w:val="22"/>
              <w:lang w:val="en-US" w:eastAsia="zh-CN" w:bidi="ar-SA"/>
            </w:rPr>
            <w:t>（一）体制机制</w:t>
          </w:r>
          <w:r>
            <w:tab/>
          </w:r>
          <w:r>
            <w:fldChar w:fldCharType="begin"/>
          </w:r>
          <w:r>
            <w:instrText xml:space="preserve"> PAGEREF _Toc21103 \h </w:instrText>
          </w:r>
          <w:r>
            <w:fldChar w:fldCharType="separate"/>
          </w:r>
          <w:r>
            <w:t>46</w:t>
          </w:r>
          <w:r>
            <w:fldChar w:fldCharType="end"/>
          </w:r>
          <w:r>
            <w:rPr>
              <w:rFonts w:hint="eastAsia" w:ascii="宋体" w:hAnsi="宋体" w:cs="宋体"/>
              <w:bCs/>
              <w:szCs w:val="30"/>
              <w:lang w:val="en-US" w:eastAsia="zh-CN"/>
            </w:rPr>
            <w:fldChar w:fldCharType="end"/>
          </w:r>
        </w:p>
        <w:p>
          <w:pPr>
            <w:pStyle w:val="21"/>
            <w:tabs>
              <w:tab w:val="right" w:leader="dot" w:pos="8732"/>
            </w:tabs>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_Toc28803 </w:instrText>
          </w:r>
          <w:r>
            <w:rPr>
              <w:rFonts w:hint="eastAsia" w:ascii="宋体" w:hAnsi="宋体" w:cs="宋体"/>
              <w:bCs/>
              <w:szCs w:val="30"/>
              <w:lang w:val="en-US" w:eastAsia="zh-CN"/>
            </w:rPr>
            <w:fldChar w:fldCharType="separate"/>
          </w:r>
          <w:r>
            <w:rPr>
              <w:rFonts w:hint="eastAsia" w:ascii="楷体" w:hAnsi="楷体" w:eastAsia="楷体" w:cs="楷体"/>
              <w:bCs/>
              <w:kern w:val="2"/>
              <w:szCs w:val="22"/>
              <w:lang w:val="en-US" w:eastAsia="zh-CN" w:bidi="ar-SA"/>
            </w:rPr>
            <w:t>（二）实习实训</w:t>
          </w:r>
          <w:r>
            <w:tab/>
          </w:r>
          <w:r>
            <w:fldChar w:fldCharType="begin"/>
          </w:r>
          <w:r>
            <w:instrText xml:space="preserve"> PAGEREF _Toc28803 \h </w:instrText>
          </w:r>
          <w:r>
            <w:fldChar w:fldCharType="separate"/>
          </w:r>
          <w:r>
            <w:t>47</w:t>
          </w:r>
          <w:r>
            <w:fldChar w:fldCharType="end"/>
          </w:r>
          <w:r>
            <w:rPr>
              <w:rFonts w:hint="eastAsia" w:ascii="宋体" w:hAnsi="宋体" w:cs="宋体"/>
              <w:bCs/>
              <w:szCs w:val="30"/>
              <w:lang w:val="en-US" w:eastAsia="zh-CN"/>
            </w:rPr>
            <w:fldChar w:fldCharType="end"/>
          </w:r>
        </w:p>
        <w:p>
          <w:pPr>
            <w:pStyle w:val="21"/>
            <w:tabs>
              <w:tab w:val="right" w:leader="dot" w:pos="8732"/>
            </w:tabs>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_Toc27977 </w:instrText>
          </w:r>
          <w:r>
            <w:rPr>
              <w:rFonts w:hint="eastAsia" w:ascii="宋体" w:hAnsi="宋体" w:cs="宋体"/>
              <w:bCs/>
              <w:szCs w:val="30"/>
              <w:lang w:val="en-US" w:eastAsia="zh-CN"/>
            </w:rPr>
            <w:fldChar w:fldCharType="separate"/>
          </w:r>
          <w:r>
            <w:rPr>
              <w:rFonts w:hint="eastAsia" w:ascii="楷体" w:hAnsi="楷体" w:eastAsia="楷体" w:cs="楷体"/>
              <w:bCs/>
              <w:kern w:val="2"/>
              <w:szCs w:val="22"/>
              <w:lang w:val="en-US" w:eastAsia="zh-CN" w:bidi="ar-SA"/>
            </w:rPr>
            <w:t>（三）校企合作现状</w:t>
          </w:r>
          <w:r>
            <w:tab/>
          </w:r>
          <w:r>
            <w:fldChar w:fldCharType="begin"/>
          </w:r>
          <w:r>
            <w:instrText xml:space="preserve"> PAGEREF _Toc27977 \h </w:instrText>
          </w:r>
          <w:r>
            <w:fldChar w:fldCharType="separate"/>
          </w:r>
          <w:r>
            <w:t>47</w:t>
          </w:r>
          <w:r>
            <w:fldChar w:fldCharType="end"/>
          </w:r>
          <w:r>
            <w:rPr>
              <w:rFonts w:hint="eastAsia" w:ascii="宋体" w:hAnsi="宋体" w:cs="宋体"/>
              <w:bCs/>
              <w:szCs w:val="30"/>
              <w:lang w:val="en-US" w:eastAsia="zh-CN"/>
            </w:rPr>
            <w:fldChar w:fldCharType="end"/>
          </w:r>
        </w:p>
        <w:p>
          <w:pPr>
            <w:pStyle w:val="21"/>
            <w:tabs>
              <w:tab w:val="right" w:leader="dot" w:pos="8732"/>
            </w:tabs>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_Toc32547 </w:instrText>
          </w:r>
          <w:r>
            <w:rPr>
              <w:rFonts w:hint="eastAsia" w:ascii="宋体" w:hAnsi="宋体" w:cs="宋体"/>
              <w:bCs/>
              <w:szCs w:val="30"/>
              <w:lang w:val="en-US" w:eastAsia="zh-CN"/>
            </w:rPr>
            <w:fldChar w:fldCharType="separate"/>
          </w:r>
          <w:r>
            <w:rPr>
              <w:rFonts w:hint="eastAsia" w:ascii="楷体" w:hAnsi="楷体" w:eastAsia="楷体" w:cs="楷体"/>
              <w:bCs/>
              <w:kern w:val="2"/>
              <w:szCs w:val="22"/>
              <w:lang w:val="en-US" w:eastAsia="zh-CN" w:bidi="ar-SA"/>
            </w:rPr>
            <w:t>（四）资源共建</w:t>
          </w:r>
          <w:r>
            <w:tab/>
          </w:r>
          <w:r>
            <w:fldChar w:fldCharType="begin"/>
          </w:r>
          <w:r>
            <w:instrText xml:space="preserve"> PAGEREF _Toc32547 \h </w:instrText>
          </w:r>
          <w:r>
            <w:fldChar w:fldCharType="separate"/>
          </w:r>
          <w:r>
            <w:t>55</w:t>
          </w:r>
          <w:r>
            <w:fldChar w:fldCharType="end"/>
          </w:r>
          <w:r>
            <w:rPr>
              <w:rFonts w:hint="eastAsia" w:ascii="宋体" w:hAnsi="宋体" w:cs="宋体"/>
              <w:bCs/>
              <w:szCs w:val="30"/>
              <w:lang w:val="en-US" w:eastAsia="zh-CN"/>
            </w:rPr>
            <w:fldChar w:fldCharType="end"/>
          </w:r>
        </w:p>
        <w:p>
          <w:pPr>
            <w:pStyle w:val="21"/>
            <w:tabs>
              <w:tab w:val="right" w:leader="dot" w:pos="8732"/>
            </w:tabs>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_Toc18820 </w:instrText>
          </w:r>
          <w:r>
            <w:rPr>
              <w:rFonts w:hint="eastAsia" w:ascii="宋体" w:hAnsi="宋体" w:cs="宋体"/>
              <w:bCs/>
              <w:szCs w:val="30"/>
              <w:lang w:val="en-US" w:eastAsia="zh-CN"/>
            </w:rPr>
            <w:fldChar w:fldCharType="separate"/>
          </w:r>
          <w:r>
            <w:rPr>
              <w:rFonts w:hint="eastAsia"/>
              <w:bCs/>
              <w:lang w:val="en-US" w:eastAsia="zh-CN"/>
            </w:rPr>
            <w:t>六、发展保障</w:t>
          </w:r>
          <w:r>
            <w:tab/>
          </w:r>
          <w:r>
            <w:fldChar w:fldCharType="begin"/>
          </w:r>
          <w:r>
            <w:instrText xml:space="preserve"> PAGEREF _Toc18820 \h </w:instrText>
          </w:r>
          <w:r>
            <w:fldChar w:fldCharType="separate"/>
          </w:r>
          <w:r>
            <w:t>56</w:t>
          </w:r>
          <w:r>
            <w:fldChar w:fldCharType="end"/>
          </w:r>
          <w:r>
            <w:rPr>
              <w:rFonts w:hint="eastAsia" w:ascii="宋体" w:hAnsi="宋体" w:cs="宋体"/>
              <w:bCs/>
              <w:szCs w:val="30"/>
              <w:lang w:val="en-US" w:eastAsia="zh-CN"/>
            </w:rPr>
            <w:fldChar w:fldCharType="end"/>
          </w:r>
        </w:p>
        <w:p>
          <w:pPr>
            <w:pStyle w:val="13"/>
            <w:tabs>
              <w:tab w:val="right" w:leader="dot" w:pos="8732"/>
            </w:tabs>
            <w:ind w:left="0" w:leftChars="0" w:firstLine="420" w:firstLineChars="200"/>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_Toc24902 </w:instrText>
          </w:r>
          <w:r>
            <w:rPr>
              <w:rFonts w:hint="eastAsia" w:ascii="宋体" w:hAnsi="宋体" w:cs="宋体"/>
              <w:bCs/>
              <w:szCs w:val="30"/>
              <w:lang w:val="en-US" w:eastAsia="zh-CN"/>
            </w:rPr>
            <w:fldChar w:fldCharType="separate"/>
          </w:r>
          <w:r>
            <w:rPr>
              <w:rFonts w:hint="eastAsia" w:ascii="楷体" w:hAnsi="楷体" w:eastAsia="楷体" w:cs="楷体"/>
              <w:bCs/>
              <w:lang w:val="en-US" w:eastAsia="zh-CN"/>
            </w:rPr>
            <w:t>（一）政府统筹规划</w:t>
          </w:r>
          <w:r>
            <w:tab/>
          </w:r>
          <w:r>
            <w:fldChar w:fldCharType="begin"/>
          </w:r>
          <w:r>
            <w:instrText xml:space="preserve"> PAGEREF _Toc24902 \h </w:instrText>
          </w:r>
          <w:r>
            <w:fldChar w:fldCharType="separate"/>
          </w:r>
          <w:r>
            <w:t>56</w:t>
          </w:r>
          <w:r>
            <w:fldChar w:fldCharType="end"/>
          </w:r>
          <w:r>
            <w:rPr>
              <w:rFonts w:hint="eastAsia" w:ascii="宋体" w:hAnsi="宋体" w:cs="宋体"/>
              <w:bCs/>
              <w:szCs w:val="30"/>
              <w:lang w:val="en-US" w:eastAsia="zh-CN"/>
            </w:rPr>
            <w:fldChar w:fldCharType="end"/>
          </w:r>
        </w:p>
        <w:p>
          <w:pPr>
            <w:pStyle w:val="13"/>
            <w:tabs>
              <w:tab w:val="right" w:leader="dot" w:pos="8732"/>
            </w:tabs>
            <w:ind w:left="0" w:leftChars="0" w:firstLine="420" w:firstLineChars="200"/>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_Toc4415 </w:instrText>
          </w:r>
          <w:r>
            <w:rPr>
              <w:rFonts w:hint="eastAsia" w:ascii="宋体" w:hAnsi="宋体" w:cs="宋体"/>
              <w:bCs/>
              <w:szCs w:val="30"/>
              <w:lang w:val="en-US" w:eastAsia="zh-CN"/>
            </w:rPr>
            <w:fldChar w:fldCharType="separate"/>
          </w:r>
          <w:r>
            <w:rPr>
              <w:rFonts w:hint="eastAsia" w:ascii="楷体" w:hAnsi="楷体" w:eastAsia="楷体" w:cs="楷体"/>
              <w:bCs/>
              <w:lang w:val="en-US" w:eastAsia="zh-CN"/>
            </w:rPr>
            <w:t>（二）政府投入支持</w:t>
          </w:r>
          <w:r>
            <w:tab/>
          </w:r>
          <w:r>
            <w:fldChar w:fldCharType="begin"/>
          </w:r>
          <w:r>
            <w:instrText xml:space="preserve"> PAGEREF _Toc4415 \h </w:instrText>
          </w:r>
          <w:r>
            <w:fldChar w:fldCharType="separate"/>
          </w:r>
          <w:r>
            <w:t>61</w:t>
          </w:r>
          <w:r>
            <w:fldChar w:fldCharType="end"/>
          </w:r>
          <w:r>
            <w:rPr>
              <w:rFonts w:hint="eastAsia" w:ascii="宋体" w:hAnsi="宋体" w:cs="宋体"/>
              <w:bCs/>
              <w:szCs w:val="30"/>
              <w:lang w:val="en-US" w:eastAsia="zh-CN"/>
            </w:rPr>
            <w:fldChar w:fldCharType="end"/>
          </w:r>
        </w:p>
        <w:p>
          <w:pPr>
            <w:pStyle w:val="13"/>
            <w:tabs>
              <w:tab w:val="right" w:leader="dot" w:pos="8732"/>
            </w:tabs>
            <w:ind w:left="0" w:leftChars="0" w:firstLine="420" w:firstLineChars="200"/>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_Toc18378 </w:instrText>
          </w:r>
          <w:r>
            <w:rPr>
              <w:rFonts w:hint="eastAsia" w:ascii="宋体" w:hAnsi="宋体" w:cs="宋体"/>
              <w:bCs/>
              <w:szCs w:val="30"/>
              <w:lang w:val="en-US" w:eastAsia="zh-CN"/>
            </w:rPr>
            <w:fldChar w:fldCharType="separate"/>
          </w:r>
          <w:r>
            <w:rPr>
              <w:rFonts w:hint="eastAsia" w:ascii="楷体" w:hAnsi="楷体" w:eastAsia="楷体" w:cs="楷体"/>
              <w:bCs/>
              <w:lang w:val="en-US" w:eastAsia="zh-CN"/>
            </w:rPr>
            <w:t>（三）学校编制设定</w:t>
          </w:r>
          <w:r>
            <w:tab/>
          </w:r>
          <w:r>
            <w:fldChar w:fldCharType="begin"/>
          </w:r>
          <w:r>
            <w:instrText xml:space="preserve"> PAGEREF _Toc18378 \h </w:instrText>
          </w:r>
          <w:r>
            <w:fldChar w:fldCharType="separate"/>
          </w:r>
          <w:r>
            <w:t>62</w:t>
          </w:r>
          <w:r>
            <w:fldChar w:fldCharType="end"/>
          </w:r>
          <w:r>
            <w:rPr>
              <w:rFonts w:hint="eastAsia" w:ascii="宋体" w:hAnsi="宋体" w:cs="宋体"/>
              <w:bCs/>
              <w:szCs w:val="30"/>
              <w:lang w:val="en-US" w:eastAsia="zh-CN"/>
            </w:rPr>
            <w:fldChar w:fldCharType="end"/>
          </w:r>
        </w:p>
        <w:p>
          <w:pPr>
            <w:pStyle w:val="21"/>
            <w:tabs>
              <w:tab w:val="right" w:leader="dot" w:pos="8732"/>
            </w:tabs>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_Toc3121 </w:instrText>
          </w:r>
          <w:r>
            <w:rPr>
              <w:rFonts w:hint="eastAsia" w:ascii="宋体" w:hAnsi="宋体" w:cs="宋体"/>
              <w:bCs/>
              <w:szCs w:val="30"/>
              <w:lang w:val="en-US" w:eastAsia="zh-CN"/>
            </w:rPr>
            <w:fldChar w:fldCharType="separate"/>
          </w:r>
          <w:r>
            <w:rPr>
              <w:rFonts w:hint="eastAsia" w:ascii="楷体" w:hAnsi="楷体" w:eastAsia="楷体" w:cs="楷体"/>
              <w:bCs/>
              <w:lang w:val="en-US" w:eastAsia="zh-CN"/>
            </w:rPr>
            <w:t>（四）学校规划管理</w:t>
          </w:r>
          <w:r>
            <w:tab/>
          </w:r>
          <w:r>
            <w:fldChar w:fldCharType="begin"/>
          </w:r>
          <w:r>
            <w:instrText xml:space="preserve"> PAGEREF _Toc3121 \h </w:instrText>
          </w:r>
          <w:r>
            <w:fldChar w:fldCharType="separate"/>
          </w:r>
          <w:r>
            <w:t>62</w:t>
          </w:r>
          <w:r>
            <w:fldChar w:fldCharType="end"/>
          </w:r>
          <w:r>
            <w:rPr>
              <w:rFonts w:hint="eastAsia" w:ascii="宋体" w:hAnsi="宋体" w:cs="宋体"/>
              <w:bCs/>
              <w:szCs w:val="30"/>
              <w:lang w:val="en-US" w:eastAsia="zh-CN"/>
            </w:rPr>
            <w:fldChar w:fldCharType="end"/>
          </w:r>
        </w:p>
        <w:p>
          <w:pPr>
            <w:pStyle w:val="13"/>
            <w:tabs>
              <w:tab w:val="right" w:leader="dot" w:pos="8732"/>
            </w:tabs>
            <w:ind w:left="0" w:leftChars="0" w:firstLine="420" w:firstLineChars="200"/>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_Toc5271 </w:instrText>
          </w:r>
          <w:r>
            <w:rPr>
              <w:rFonts w:hint="eastAsia" w:ascii="宋体" w:hAnsi="宋体" w:cs="宋体"/>
              <w:bCs/>
              <w:szCs w:val="30"/>
              <w:lang w:val="en-US" w:eastAsia="zh-CN"/>
            </w:rPr>
            <w:fldChar w:fldCharType="separate"/>
          </w:r>
          <w:r>
            <w:rPr>
              <w:rFonts w:hint="eastAsia" w:ascii="楷体" w:hAnsi="楷体" w:eastAsia="楷体" w:cs="楷体"/>
              <w:bCs/>
              <w:lang w:val="en-US" w:eastAsia="zh-CN"/>
            </w:rPr>
            <w:t>（五）质量保证体系建设</w:t>
          </w:r>
          <w:r>
            <w:tab/>
          </w:r>
          <w:r>
            <w:fldChar w:fldCharType="begin"/>
          </w:r>
          <w:r>
            <w:instrText xml:space="preserve"> PAGEREF _Toc5271 \h </w:instrText>
          </w:r>
          <w:r>
            <w:fldChar w:fldCharType="separate"/>
          </w:r>
          <w:r>
            <w:t>71</w:t>
          </w:r>
          <w:r>
            <w:fldChar w:fldCharType="end"/>
          </w:r>
          <w:r>
            <w:rPr>
              <w:rFonts w:hint="eastAsia" w:ascii="宋体" w:hAnsi="宋体" w:cs="宋体"/>
              <w:bCs/>
              <w:szCs w:val="30"/>
              <w:lang w:val="en-US" w:eastAsia="zh-CN"/>
            </w:rPr>
            <w:fldChar w:fldCharType="end"/>
          </w:r>
        </w:p>
        <w:p>
          <w:pPr>
            <w:pStyle w:val="13"/>
            <w:tabs>
              <w:tab w:val="right" w:leader="dot" w:pos="8732"/>
            </w:tabs>
            <w:ind w:left="0" w:leftChars="0" w:firstLine="420" w:firstLineChars="200"/>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_Toc4489 </w:instrText>
          </w:r>
          <w:r>
            <w:rPr>
              <w:rFonts w:hint="eastAsia" w:ascii="宋体" w:hAnsi="宋体" w:cs="宋体"/>
              <w:bCs/>
              <w:szCs w:val="30"/>
              <w:lang w:val="en-US" w:eastAsia="zh-CN"/>
            </w:rPr>
            <w:fldChar w:fldCharType="separate"/>
          </w:r>
          <w:r>
            <w:rPr>
              <w:rFonts w:hint="eastAsia" w:ascii="楷体" w:hAnsi="楷体" w:eastAsia="楷体" w:cs="楷体"/>
              <w:bCs/>
              <w:lang w:val="en-US" w:eastAsia="zh-CN"/>
            </w:rPr>
            <w:t>（六）经费投入</w:t>
          </w:r>
          <w:r>
            <w:tab/>
          </w:r>
          <w:r>
            <w:fldChar w:fldCharType="begin"/>
          </w:r>
          <w:r>
            <w:instrText xml:space="preserve"> PAGEREF _Toc4489 \h </w:instrText>
          </w:r>
          <w:r>
            <w:fldChar w:fldCharType="separate"/>
          </w:r>
          <w:r>
            <w:t>73</w:t>
          </w:r>
          <w:r>
            <w:fldChar w:fldCharType="end"/>
          </w:r>
          <w:r>
            <w:rPr>
              <w:rFonts w:hint="eastAsia" w:ascii="宋体" w:hAnsi="宋体" w:cs="宋体"/>
              <w:bCs/>
              <w:szCs w:val="30"/>
              <w:lang w:val="en-US" w:eastAsia="zh-CN"/>
            </w:rPr>
            <w:fldChar w:fldCharType="end"/>
          </w:r>
        </w:p>
        <w:p>
          <w:pPr>
            <w:pStyle w:val="21"/>
            <w:tabs>
              <w:tab w:val="right" w:leader="dot" w:pos="8732"/>
            </w:tabs>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_Toc21363 </w:instrText>
          </w:r>
          <w:r>
            <w:rPr>
              <w:rFonts w:hint="eastAsia" w:ascii="宋体" w:hAnsi="宋体" w:cs="宋体"/>
              <w:bCs/>
              <w:szCs w:val="30"/>
              <w:lang w:val="en-US" w:eastAsia="zh-CN"/>
            </w:rPr>
            <w:fldChar w:fldCharType="separate"/>
          </w:r>
          <w:r>
            <w:rPr>
              <w:rFonts w:hint="eastAsia"/>
              <w:bCs/>
              <w:lang w:val="en-US" w:eastAsia="zh-CN"/>
            </w:rPr>
            <w:t>七、挑战与展望</w:t>
          </w:r>
          <w:r>
            <w:tab/>
          </w:r>
          <w:r>
            <w:fldChar w:fldCharType="begin"/>
          </w:r>
          <w:r>
            <w:instrText xml:space="preserve"> PAGEREF _Toc21363 \h </w:instrText>
          </w:r>
          <w:r>
            <w:fldChar w:fldCharType="separate"/>
          </w:r>
          <w:r>
            <w:t>73</w:t>
          </w:r>
          <w:r>
            <w:fldChar w:fldCharType="end"/>
          </w:r>
          <w:r>
            <w:rPr>
              <w:rFonts w:hint="eastAsia" w:ascii="宋体" w:hAnsi="宋体" w:cs="宋体"/>
              <w:bCs/>
              <w:szCs w:val="30"/>
              <w:lang w:val="en-US" w:eastAsia="zh-CN"/>
            </w:rPr>
            <w:fldChar w:fldCharType="end"/>
          </w:r>
        </w:p>
        <w:p>
          <w:pPr>
            <w:pStyle w:val="13"/>
            <w:tabs>
              <w:tab w:val="right" w:leader="dot" w:pos="8732"/>
            </w:tabs>
            <w:ind w:left="0" w:leftChars="0" w:firstLine="420" w:firstLineChars="200"/>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_Toc12770 </w:instrText>
          </w:r>
          <w:r>
            <w:rPr>
              <w:rFonts w:hint="eastAsia" w:ascii="宋体" w:hAnsi="宋体" w:cs="宋体"/>
              <w:bCs/>
              <w:szCs w:val="30"/>
              <w:lang w:val="en-US" w:eastAsia="zh-CN"/>
            </w:rPr>
            <w:fldChar w:fldCharType="separate"/>
          </w:r>
          <w:r>
            <w:rPr>
              <w:rFonts w:hint="eastAsia" w:ascii="楷体" w:hAnsi="楷体" w:eastAsia="楷体" w:cs="楷体"/>
              <w:bCs/>
              <w:lang w:val="en-US" w:eastAsia="zh-CN"/>
            </w:rPr>
            <w:t>（一）面临挑战</w:t>
          </w:r>
          <w:r>
            <w:tab/>
          </w:r>
          <w:r>
            <w:fldChar w:fldCharType="begin"/>
          </w:r>
          <w:r>
            <w:instrText xml:space="preserve"> PAGEREF _Toc12770 \h </w:instrText>
          </w:r>
          <w:r>
            <w:fldChar w:fldCharType="separate"/>
          </w:r>
          <w:r>
            <w:t>73</w:t>
          </w:r>
          <w:r>
            <w:fldChar w:fldCharType="end"/>
          </w:r>
          <w:r>
            <w:rPr>
              <w:rFonts w:hint="eastAsia" w:ascii="宋体" w:hAnsi="宋体" w:cs="宋体"/>
              <w:bCs/>
              <w:szCs w:val="30"/>
              <w:lang w:val="en-US" w:eastAsia="zh-CN"/>
            </w:rPr>
            <w:fldChar w:fldCharType="end"/>
          </w:r>
        </w:p>
        <w:p>
          <w:pPr>
            <w:pStyle w:val="13"/>
            <w:tabs>
              <w:tab w:val="right" w:leader="dot" w:pos="8732"/>
            </w:tabs>
            <w:ind w:left="0" w:leftChars="0" w:firstLine="420" w:firstLineChars="200"/>
          </w:pPr>
          <w:r>
            <w:rPr>
              <w:rFonts w:hint="eastAsia" w:ascii="宋体" w:hAnsi="宋体" w:cs="宋体"/>
              <w:bCs/>
              <w:szCs w:val="30"/>
              <w:lang w:val="en-US" w:eastAsia="zh-CN"/>
            </w:rPr>
            <w:fldChar w:fldCharType="begin"/>
          </w:r>
          <w:r>
            <w:rPr>
              <w:rFonts w:hint="eastAsia" w:ascii="宋体" w:hAnsi="宋体" w:cs="宋体"/>
              <w:bCs/>
              <w:szCs w:val="30"/>
              <w:lang w:val="en-US" w:eastAsia="zh-CN"/>
            </w:rPr>
            <w:instrText xml:space="preserve"> HYPERLINK \l _Toc32447 </w:instrText>
          </w:r>
          <w:r>
            <w:rPr>
              <w:rFonts w:hint="eastAsia" w:ascii="宋体" w:hAnsi="宋体" w:cs="宋体"/>
              <w:bCs/>
              <w:szCs w:val="30"/>
              <w:lang w:val="en-US" w:eastAsia="zh-CN"/>
            </w:rPr>
            <w:fldChar w:fldCharType="separate"/>
          </w:r>
          <w:r>
            <w:rPr>
              <w:rFonts w:hint="eastAsia" w:ascii="楷体" w:hAnsi="楷体" w:eastAsia="楷体" w:cs="楷体"/>
              <w:bCs/>
              <w:lang w:val="en-US" w:eastAsia="zh-CN"/>
            </w:rPr>
            <w:t>（二）未来展望</w:t>
          </w:r>
          <w:r>
            <w:tab/>
          </w:r>
          <w:r>
            <w:fldChar w:fldCharType="begin"/>
          </w:r>
          <w:r>
            <w:instrText xml:space="preserve"> PAGEREF _Toc32447 \h </w:instrText>
          </w:r>
          <w:r>
            <w:fldChar w:fldCharType="separate"/>
          </w:r>
          <w:r>
            <w:t>76</w:t>
          </w:r>
          <w:r>
            <w:fldChar w:fldCharType="end"/>
          </w:r>
          <w:r>
            <w:rPr>
              <w:rFonts w:hint="eastAsia" w:ascii="宋体" w:hAnsi="宋体" w:cs="宋体"/>
              <w:bCs/>
              <w:szCs w:val="30"/>
              <w:lang w:val="en-US" w:eastAsia="zh-CN"/>
            </w:rPr>
            <w:fldChar w:fldCharType="end"/>
          </w:r>
        </w:p>
        <w:p>
          <w:pPr>
            <w:shd w:val="clear" w:fill="FFFFFF" w:themeFill="background1"/>
            <w:jc w:val="center"/>
            <w:rPr>
              <w:rFonts w:hint="eastAsia" w:ascii="宋体" w:hAnsi="宋体" w:cs="宋体"/>
              <w:b/>
              <w:bCs/>
              <w:sz w:val="30"/>
              <w:szCs w:val="30"/>
              <w:lang w:val="en-US" w:eastAsia="zh-CN"/>
            </w:rPr>
          </w:pPr>
          <w:r>
            <w:rPr>
              <w:rFonts w:hint="eastAsia" w:ascii="宋体" w:hAnsi="宋体" w:cs="宋体"/>
              <w:bCs/>
              <w:szCs w:val="30"/>
              <w:lang w:val="en-US" w:eastAsia="zh-CN"/>
            </w:rPr>
            <w:fldChar w:fldCharType="end"/>
          </w:r>
        </w:p>
      </w:sdtContent>
    </w:sdt>
    <w:p>
      <w:pPr>
        <w:shd w:val="clear" w:fill="FFFFFF" w:themeFill="background1"/>
        <w:jc w:val="center"/>
        <w:rPr>
          <w:rFonts w:hint="eastAsia" w:ascii="宋体" w:hAnsi="宋体" w:cs="宋体"/>
          <w:b/>
          <w:bCs/>
          <w:sz w:val="30"/>
          <w:szCs w:val="30"/>
          <w:lang w:val="en-US" w:eastAsia="zh-CN"/>
        </w:rPr>
      </w:pPr>
    </w:p>
    <w:p>
      <w:pPr>
        <w:shd w:val="clear" w:fill="FFFFFF" w:themeFill="background1"/>
        <w:jc w:val="center"/>
        <w:rPr>
          <w:rFonts w:hint="eastAsia" w:ascii="宋体" w:hAnsi="宋体" w:cs="宋体"/>
          <w:b/>
          <w:bCs/>
          <w:sz w:val="30"/>
          <w:szCs w:val="30"/>
          <w:lang w:val="en-US" w:eastAsia="zh-CN"/>
        </w:rPr>
      </w:pPr>
    </w:p>
    <w:p>
      <w:pPr>
        <w:shd w:val="clear" w:fill="FFFFFF" w:themeFill="background1"/>
        <w:jc w:val="center"/>
        <w:rPr>
          <w:rFonts w:hint="eastAsia" w:ascii="宋体" w:hAnsi="宋体" w:cs="宋体"/>
          <w:b/>
          <w:bCs/>
          <w:sz w:val="30"/>
          <w:szCs w:val="30"/>
          <w:lang w:val="en-US" w:eastAsia="zh-CN"/>
        </w:rPr>
      </w:pPr>
    </w:p>
    <w:p>
      <w:pPr>
        <w:shd w:val="clear" w:fill="FFFFFF" w:themeFill="background1"/>
        <w:jc w:val="center"/>
        <w:rPr>
          <w:rFonts w:hint="eastAsia" w:ascii="宋体" w:hAnsi="宋体" w:cs="宋体"/>
          <w:b/>
          <w:bCs/>
          <w:sz w:val="30"/>
          <w:szCs w:val="30"/>
          <w:lang w:val="en-US" w:eastAsia="zh-CN"/>
        </w:rPr>
      </w:pPr>
    </w:p>
    <w:p>
      <w:pPr>
        <w:pStyle w:val="2"/>
        <w:ind w:left="0" w:leftChars="0" w:firstLine="0" w:firstLineChars="0"/>
        <w:rPr>
          <w:rFonts w:hint="eastAsia" w:ascii="宋体" w:hAnsi="宋体" w:eastAsia="宋体" w:cs="宋体"/>
          <w:b/>
          <w:bCs/>
          <w:kern w:val="2"/>
          <w:sz w:val="21"/>
          <w:szCs w:val="21"/>
          <w:lang w:val="en-US" w:eastAsia="zh-CN" w:bidi="ar-SA"/>
        </w:rPr>
      </w:pPr>
    </w:p>
    <w:p>
      <w:pPr>
        <w:pStyle w:val="10"/>
        <w:jc w:val="center"/>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图目录</w:t>
      </w:r>
    </w:p>
    <w:p>
      <w:pPr>
        <w:pStyle w:val="20"/>
        <w:tabs>
          <w:tab w:val="right" w:leader="dot" w:pos="8732"/>
        </w:tabs>
      </w:pPr>
      <w:r>
        <w:rPr>
          <w:rFonts w:hint="eastAsia"/>
          <w:lang w:val="en-US" w:eastAsia="zh-CN"/>
        </w:rPr>
        <w:fldChar w:fldCharType="begin"/>
      </w:r>
      <w:r>
        <w:rPr>
          <w:rFonts w:hint="eastAsia"/>
          <w:lang w:val="en-US" w:eastAsia="zh-CN"/>
        </w:rPr>
        <w:instrText xml:space="preserve">TOC \h \c "图"</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_Toc22393 </w:instrText>
      </w:r>
      <w:r>
        <w:rPr>
          <w:rFonts w:hint="eastAsia"/>
          <w:lang w:val="en-US" w:eastAsia="zh-CN"/>
        </w:rPr>
        <w:fldChar w:fldCharType="separate"/>
      </w:r>
      <w:r>
        <w:t xml:space="preserve">图 1 </w:t>
      </w:r>
      <w:r>
        <w:rPr>
          <w:rFonts w:hint="eastAsia"/>
          <w:lang w:eastAsia="zh-CN"/>
        </w:rPr>
        <w:t>在</w:t>
      </w:r>
      <w:r>
        <w:rPr>
          <w:rFonts w:hint="eastAsia"/>
          <w:lang w:val="en-US" w:eastAsia="zh-CN"/>
        </w:rPr>
        <w:t>涿鹿县</w:t>
      </w:r>
      <w:r>
        <w:rPr>
          <w:rFonts w:hint="eastAsia"/>
          <w:lang w:eastAsia="zh-CN"/>
        </w:rPr>
        <w:t>第</w:t>
      </w:r>
      <w:r>
        <w:rPr>
          <w:rFonts w:hint="eastAsia"/>
          <w:lang w:val="en-US" w:eastAsia="zh-CN"/>
        </w:rPr>
        <w:t>三</w:t>
      </w:r>
      <w:r>
        <w:rPr>
          <w:rFonts w:hint="eastAsia"/>
          <w:lang w:eastAsia="zh-CN"/>
        </w:rPr>
        <w:t>十</w:t>
      </w:r>
      <w:r>
        <w:rPr>
          <w:rFonts w:hint="eastAsia"/>
          <w:lang w:val="en-US" w:eastAsia="zh-CN"/>
        </w:rPr>
        <w:t>四</w:t>
      </w:r>
      <w:r>
        <w:rPr>
          <w:rFonts w:hint="eastAsia"/>
          <w:lang w:eastAsia="zh-CN"/>
        </w:rPr>
        <w:t>届</w:t>
      </w:r>
      <w:r>
        <w:rPr>
          <w:rFonts w:hint="eastAsia"/>
          <w:lang w:val="en-US" w:eastAsia="zh-CN"/>
        </w:rPr>
        <w:t>中小学生田径</w:t>
      </w:r>
      <w:r>
        <w:rPr>
          <w:rFonts w:hint="eastAsia"/>
          <w:lang w:eastAsia="zh-CN"/>
        </w:rPr>
        <w:t>运动会上获奖</w:t>
      </w:r>
      <w:r>
        <w:tab/>
      </w:r>
      <w:r>
        <w:fldChar w:fldCharType="begin"/>
      </w:r>
      <w:r>
        <w:instrText xml:space="preserve"> PAGEREF _Toc22393 \h </w:instrText>
      </w:r>
      <w:r>
        <w:fldChar w:fldCharType="separate"/>
      </w:r>
      <w:r>
        <w:t>6</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_Toc17736 </w:instrText>
      </w:r>
      <w:r>
        <w:rPr>
          <w:rFonts w:hint="eastAsia"/>
          <w:lang w:val="en-US" w:eastAsia="zh-CN"/>
        </w:rPr>
        <w:fldChar w:fldCharType="separate"/>
      </w:r>
      <w:r>
        <w:t xml:space="preserve">图 2 </w:t>
      </w:r>
      <w:r>
        <w:rPr>
          <w:rFonts w:hint="eastAsia"/>
          <w:lang w:eastAsia="zh-CN"/>
        </w:rPr>
        <w:t>在涿鹿县第34届</w:t>
      </w:r>
      <w:r>
        <w:rPr>
          <w:rFonts w:hint="eastAsia"/>
          <w:lang w:val="en-US" w:eastAsia="zh-CN"/>
        </w:rPr>
        <w:t>中小学生田径运动会高中组荣获团体第一名</w:t>
      </w:r>
      <w:r>
        <w:tab/>
      </w:r>
      <w:r>
        <w:fldChar w:fldCharType="begin"/>
      </w:r>
      <w:r>
        <w:instrText xml:space="preserve"> PAGEREF _Toc17736 \h </w:instrText>
      </w:r>
      <w:r>
        <w:fldChar w:fldCharType="separate"/>
      </w:r>
      <w:r>
        <w:t>7</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_Toc19757 </w:instrText>
      </w:r>
      <w:r>
        <w:rPr>
          <w:rFonts w:hint="eastAsia"/>
          <w:lang w:val="en-US" w:eastAsia="zh-CN"/>
        </w:rPr>
        <w:fldChar w:fldCharType="separate"/>
      </w:r>
      <w:r>
        <w:rPr>
          <w:rFonts w:hint="eastAsia" w:ascii="仿宋" w:hAnsi="仿宋" w:eastAsia="仿宋" w:cs="仿宋"/>
          <w:kern w:val="2"/>
          <w:szCs w:val="24"/>
          <w:lang w:val="en-US" w:eastAsia="zh-CN" w:bidi="ar-SA"/>
        </w:rPr>
        <w:t xml:space="preserve">图 </w:t>
      </w:r>
      <w:r>
        <w:t xml:space="preserve">3 </w:t>
      </w:r>
      <w:r>
        <w:rPr>
          <w:rFonts w:hint="eastAsia"/>
          <w:lang w:val="en-US" w:eastAsia="zh-CN"/>
        </w:rPr>
        <w:t>优秀毕业生张生凯</w:t>
      </w:r>
      <w:r>
        <w:tab/>
      </w:r>
      <w:r>
        <w:fldChar w:fldCharType="begin"/>
      </w:r>
      <w:r>
        <w:instrText xml:space="preserve"> PAGEREF _Toc19757 \h </w:instrText>
      </w:r>
      <w:r>
        <w:fldChar w:fldCharType="separate"/>
      </w:r>
      <w:r>
        <w:t>9</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_Toc17732 </w:instrText>
      </w:r>
      <w:r>
        <w:rPr>
          <w:rFonts w:hint="eastAsia"/>
          <w:lang w:val="en-US" w:eastAsia="zh-CN"/>
        </w:rPr>
        <w:fldChar w:fldCharType="separate"/>
      </w:r>
      <w:r>
        <w:rPr>
          <w:rFonts w:hint="eastAsia" w:ascii="仿宋" w:hAnsi="仿宋" w:eastAsia="仿宋" w:cs="仿宋"/>
          <w:szCs w:val="21"/>
        </w:rPr>
        <w:t xml:space="preserve">图 </w:t>
      </w:r>
      <w:r>
        <w:t xml:space="preserve">4 </w:t>
      </w:r>
      <w:r>
        <w:rPr>
          <w:rFonts w:hint="eastAsia"/>
          <w:lang w:val="en-US" w:eastAsia="zh-CN"/>
        </w:rPr>
        <w:t>张生凯在张家口第二十一届运动会上获奖</w:t>
      </w:r>
      <w:r>
        <w:tab/>
      </w:r>
      <w:r>
        <w:fldChar w:fldCharType="begin"/>
      </w:r>
      <w:r>
        <w:instrText xml:space="preserve"> PAGEREF _Toc17732 \h </w:instrText>
      </w:r>
      <w:r>
        <w:fldChar w:fldCharType="separate"/>
      </w:r>
      <w:r>
        <w:t>10</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_Toc9179 </w:instrText>
      </w:r>
      <w:r>
        <w:rPr>
          <w:rFonts w:hint="eastAsia"/>
          <w:lang w:val="en-US" w:eastAsia="zh-CN"/>
        </w:rPr>
        <w:fldChar w:fldCharType="separate"/>
      </w:r>
      <w:r>
        <w:t>图 5 学校航空专业礼仪队参加教师节活动</w:t>
      </w:r>
      <w:r>
        <w:tab/>
      </w:r>
      <w:r>
        <w:fldChar w:fldCharType="begin"/>
      </w:r>
      <w:r>
        <w:instrText xml:space="preserve"> PAGEREF _Toc9179 \h </w:instrText>
      </w:r>
      <w:r>
        <w:fldChar w:fldCharType="separate"/>
      </w:r>
      <w:r>
        <w:t>14</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_Toc7068 </w:instrText>
      </w:r>
      <w:r>
        <w:rPr>
          <w:rFonts w:hint="eastAsia"/>
          <w:lang w:val="en-US" w:eastAsia="zh-CN"/>
        </w:rPr>
        <w:fldChar w:fldCharType="separate"/>
      </w:r>
      <w:r>
        <w:t xml:space="preserve">图 6 </w:t>
      </w:r>
      <w:r>
        <w:rPr>
          <w:rFonts w:hint="eastAsia"/>
          <w:lang w:eastAsia="zh-CN"/>
        </w:rPr>
        <w:t>李东生老师和计算机专业学生唐鑫磊、邓峰老师和计算机专业学生王亚娟</w:t>
      </w:r>
      <w:r>
        <w:rPr>
          <w:rFonts w:hint="eastAsia"/>
          <w:lang w:val="en-US" w:eastAsia="zh-CN"/>
        </w:rPr>
        <w:t>参加省技能大赛</w:t>
      </w:r>
      <w:r>
        <w:tab/>
      </w:r>
      <w:r>
        <w:fldChar w:fldCharType="begin"/>
      </w:r>
      <w:r>
        <w:instrText xml:space="preserve"> PAGEREF _Toc7068 \h </w:instrText>
      </w:r>
      <w:r>
        <w:fldChar w:fldCharType="separate"/>
      </w:r>
      <w:r>
        <w:t>15</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_Toc28202 </w:instrText>
      </w:r>
      <w:r>
        <w:rPr>
          <w:rFonts w:hint="eastAsia"/>
          <w:lang w:val="en-US" w:eastAsia="zh-CN"/>
        </w:rPr>
        <w:fldChar w:fldCharType="separate"/>
      </w:r>
      <w:r>
        <w:t xml:space="preserve">图 7 </w:t>
      </w:r>
      <w:r>
        <w:rPr>
          <w:rFonts w:hint="eastAsia"/>
          <w:lang w:eastAsia="zh-CN"/>
        </w:rPr>
        <w:t>学生在涿鹿县第</w:t>
      </w:r>
      <w:r>
        <w:rPr>
          <w:rFonts w:hint="eastAsia"/>
          <w:lang w:val="en-US" w:eastAsia="zh-CN"/>
        </w:rPr>
        <w:t>35</w:t>
      </w:r>
      <w:r>
        <w:rPr>
          <w:rFonts w:hint="eastAsia"/>
          <w:lang w:eastAsia="zh-CN"/>
        </w:rPr>
        <w:t>届中小幼艺术节获奖作品</w:t>
      </w:r>
      <w:r>
        <w:tab/>
      </w:r>
      <w:r>
        <w:fldChar w:fldCharType="begin"/>
      </w:r>
      <w:r>
        <w:instrText xml:space="preserve"> PAGEREF _Toc28202 \h </w:instrText>
      </w:r>
      <w:r>
        <w:fldChar w:fldCharType="separate"/>
      </w:r>
      <w:r>
        <w:t>16</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_Toc20578 </w:instrText>
      </w:r>
      <w:r>
        <w:rPr>
          <w:rFonts w:hint="eastAsia"/>
          <w:lang w:val="en-US" w:eastAsia="zh-CN"/>
        </w:rPr>
        <w:fldChar w:fldCharType="separate"/>
      </w:r>
      <w:r>
        <w:t xml:space="preserve">图 8 </w:t>
      </w:r>
      <w:r>
        <w:rPr>
          <w:rFonts w:hint="eastAsia"/>
          <w:lang w:val="en-US" w:eastAsia="zh-CN"/>
        </w:rPr>
        <w:t>涿鹿职教师生在运动会上合影</w:t>
      </w:r>
      <w:r>
        <w:tab/>
      </w:r>
      <w:r>
        <w:fldChar w:fldCharType="begin"/>
      </w:r>
      <w:r>
        <w:instrText xml:space="preserve"> PAGEREF _Toc20578 \h </w:instrText>
      </w:r>
      <w:r>
        <w:fldChar w:fldCharType="separate"/>
      </w:r>
      <w:r>
        <w:t>18</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_Toc21979 </w:instrText>
      </w:r>
      <w:r>
        <w:rPr>
          <w:rFonts w:hint="eastAsia"/>
          <w:lang w:val="en-US" w:eastAsia="zh-CN"/>
        </w:rPr>
        <w:fldChar w:fldCharType="separate"/>
      </w:r>
      <w:r>
        <w:t xml:space="preserve">图 9 </w:t>
      </w:r>
      <w:r>
        <w:rPr>
          <w:rFonts w:hint="eastAsia"/>
          <w:lang w:eastAsia="zh-CN"/>
        </w:rPr>
        <w:t>学校在温泉屯教学点授课</w:t>
      </w:r>
      <w:r>
        <w:tab/>
      </w:r>
      <w:r>
        <w:fldChar w:fldCharType="begin"/>
      </w:r>
      <w:r>
        <w:instrText xml:space="preserve"> PAGEREF _Toc21979 \h </w:instrText>
      </w:r>
      <w:r>
        <w:fldChar w:fldCharType="separate"/>
      </w:r>
      <w:r>
        <w:t>25</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_Toc17774 </w:instrText>
      </w:r>
      <w:r>
        <w:rPr>
          <w:rFonts w:hint="eastAsia"/>
          <w:lang w:val="en-US" w:eastAsia="zh-CN"/>
        </w:rPr>
        <w:fldChar w:fldCharType="separate"/>
      </w:r>
      <w:r>
        <w:t xml:space="preserve">图 10 </w:t>
      </w:r>
      <w:r>
        <w:rPr>
          <w:rFonts w:hint="eastAsia"/>
          <w:lang w:val="en-US" w:eastAsia="zh-CN"/>
        </w:rPr>
        <w:t>座谈会后合影留念</w:t>
      </w:r>
      <w:r>
        <w:tab/>
      </w:r>
      <w:r>
        <w:fldChar w:fldCharType="begin"/>
      </w:r>
      <w:r>
        <w:instrText xml:space="preserve"> PAGEREF _Toc17774 \h </w:instrText>
      </w:r>
      <w:r>
        <w:fldChar w:fldCharType="separate"/>
      </w:r>
      <w:r>
        <w:t>32</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_Toc1719 </w:instrText>
      </w:r>
      <w:r>
        <w:rPr>
          <w:rFonts w:hint="eastAsia"/>
          <w:lang w:val="en-US" w:eastAsia="zh-CN"/>
        </w:rPr>
        <w:fldChar w:fldCharType="separate"/>
      </w:r>
      <w:r>
        <w:t xml:space="preserve">图 11 </w:t>
      </w:r>
      <w:r>
        <w:rPr>
          <w:rFonts w:hint="eastAsia"/>
          <w:lang w:val="en-US" w:eastAsia="zh-CN"/>
        </w:rPr>
        <w:t>供水公司副经理周乾慧向学校送锦旗</w:t>
      </w:r>
      <w:r>
        <w:tab/>
      </w:r>
      <w:r>
        <w:fldChar w:fldCharType="begin"/>
      </w:r>
      <w:r>
        <w:instrText xml:space="preserve"> PAGEREF _Toc1719 \h </w:instrText>
      </w:r>
      <w:r>
        <w:fldChar w:fldCharType="separate"/>
      </w:r>
      <w:r>
        <w:t>33</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_Toc6392 </w:instrText>
      </w:r>
      <w:r>
        <w:rPr>
          <w:rFonts w:hint="eastAsia"/>
          <w:lang w:val="en-US" w:eastAsia="zh-CN"/>
        </w:rPr>
        <w:fldChar w:fldCharType="separate"/>
      </w:r>
      <w:r>
        <w:t xml:space="preserve">图 12 </w:t>
      </w:r>
      <w:r>
        <w:rPr>
          <w:rFonts w:hint="eastAsia"/>
          <w:lang w:val="en-US" w:eastAsia="zh-CN"/>
        </w:rPr>
        <w:t>学校礼仪服务老师姚冰娇为供水行业员工培训</w:t>
      </w:r>
      <w:r>
        <w:tab/>
      </w:r>
      <w:r>
        <w:fldChar w:fldCharType="begin"/>
      </w:r>
      <w:r>
        <w:instrText xml:space="preserve"> PAGEREF _Toc6392 \h </w:instrText>
      </w:r>
      <w:r>
        <w:fldChar w:fldCharType="separate"/>
      </w:r>
      <w:r>
        <w:t>34</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_Toc17862 </w:instrText>
      </w:r>
      <w:r>
        <w:rPr>
          <w:rFonts w:hint="eastAsia"/>
          <w:lang w:val="en-US" w:eastAsia="zh-CN"/>
        </w:rPr>
        <w:fldChar w:fldCharType="separate"/>
      </w:r>
      <w:r>
        <w:t xml:space="preserve">图 13 </w:t>
      </w:r>
      <w:r>
        <w:rPr>
          <w:rFonts w:hint="eastAsia"/>
          <w:lang w:val="en-US" w:eastAsia="zh-CN"/>
        </w:rPr>
        <w:t>学校姚冰娇老师受邀为供水行业窗口服务部门开展服务礼仪专项培训</w:t>
      </w:r>
      <w:r>
        <w:tab/>
      </w:r>
      <w:r>
        <w:fldChar w:fldCharType="begin"/>
      </w:r>
      <w:r>
        <w:instrText xml:space="preserve"> PAGEREF _Toc17862 \h </w:instrText>
      </w:r>
      <w:r>
        <w:fldChar w:fldCharType="separate"/>
      </w:r>
      <w:r>
        <w:t>35</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_Toc5734 </w:instrText>
      </w:r>
      <w:r>
        <w:rPr>
          <w:rFonts w:hint="eastAsia"/>
          <w:lang w:val="en-US" w:eastAsia="zh-CN"/>
        </w:rPr>
        <w:fldChar w:fldCharType="separate"/>
      </w:r>
      <w:r>
        <w:t>图 14 县领导和该校学生植树</w:t>
      </w:r>
      <w:r>
        <w:tab/>
      </w:r>
      <w:r>
        <w:fldChar w:fldCharType="begin"/>
      </w:r>
      <w:r>
        <w:instrText xml:space="preserve"> PAGEREF _Toc5734 \h </w:instrText>
      </w:r>
      <w:r>
        <w:fldChar w:fldCharType="separate"/>
      </w:r>
      <w:r>
        <w:t>37</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_Toc2242 </w:instrText>
      </w:r>
      <w:r>
        <w:rPr>
          <w:rFonts w:hint="eastAsia"/>
          <w:lang w:val="en-US" w:eastAsia="zh-CN"/>
        </w:rPr>
        <w:fldChar w:fldCharType="separate"/>
      </w:r>
      <w:r>
        <w:t>图 15 学生在阅览室研读报刊</w:t>
      </w:r>
      <w:r>
        <w:tab/>
      </w:r>
      <w:r>
        <w:fldChar w:fldCharType="begin"/>
      </w:r>
      <w:r>
        <w:instrText xml:space="preserve"> PAGEREF _Toc2242 \h </w:instrText>
      </w:r>
      <w:r>
        <w:fldChar w:fldCharType="separate"/>
      </w:r>
      <w:r>
        <w:t>39</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_Toc10594 </w:instrText>
      </w:r>
      <w:r>
        <w:rPr>
          <w:rFonts w:hint="eastAsia"/>
          <w:lang w:val="en-US" w:eastAsia="zh-CN"/>
        </w:rPr>
        <w:fldChar w:fldCharType="separate"/>
      </w:r>
      <w:r>
        <w:t>图 16 迎七一学生作品展</w:t>
      </w:r>
      <w:r>
        <w:tab/>
      </w:r>
      <w:r>
        <w:fldChar w:fldCharType="begin"/>
      </w:r>
      <w:r>
        <w:instrText xml:space="preserve"> PAGEREF _Toc10594 \h </w:instrText>
      </w:r>
      <w:r>
        <w:fldChar w:fldCharType="separate"/>
      </w:r>
      <w:r>
        <w:t>41</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_Toc8651 </w:instrText>
      </w:r>
      <w:r>
        <w:rPr>
          <w:rFonts w:hint="eastAsia"/>
          <w:lang w:val="en-US" w:eastAsia="zh-CN"/>
        </w:rPr>
        <w:fldChar w:fldCharType="separate"/>
      </w:r>
      <w:r>
        <w:t>图 17 爱国板报活动</w:t>
      </w:r>
      <w:r>
        <w:tab/>
      </w:r>
      <w:r>
        <w:fldChar w:fldCharType="begin"/>
      </w:r>
      <w:r>
        <w:instrText xml:space="preserve"> PAGEREF _Toc8651 \h </w:instrText>
      </w:r>
      <w:r>
        <w:fldChar w:fldCharType="separate"/>
      </w:r>
      <w:r>
        <w:t>45</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_Toc1840 </w:instrText>
      </w:r>
      <w:r>
        <w:rPr>
          <w:rFonts w:hint="eastAsia"/>
          <w:lang w:val="en-US" w:eastAsia="zh-CN"/>
        </w:rPr>
        <w:fldChar w:fldCharType="separate"/>
      </w:r>
      <w:r>
        <w:t>图 18 网络创意获奖作品及奖状</w:t>
      </w:r>
      <w:r>
        <w:tab/>
      </w:r>
      <w:r>
        <w:fldChar w:fldCharType="begin"/>
      </w:r>
      <w:r>
        <w:instrText xml:space="preserve"> PAGEREF _Toc1840 \h </w:instrText>
      </w:r>
      <w:r>
        <w:fldChar w:fldCharType="separate"/>
      </w:r>
      <w:r>
        <w:t>47</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_Toc21340 </w:instrText>
      </w:r>
      <w:r>
        <w:rPr>
          <w:rFonts w:hint="eastAsia"/>
          <w:lang w:val="en-US" w:eastAsia="zh-CN"/>
        </w:rPr>
        <w:fldChar w:fldCharType="separate"/>
      </w:r>
      <w:r>
        <w:t>图 19 重阳节活动获奖学生留影</w:t>
      </w:r>
      <w:r>
        <w:tab/>
      </w:r>
      <w:r>
        <w:fldChar w:fldCharType="begin"/>
      </w:r>
      <w:r>
        <w:instrText xml:space="preserve"> PAGEREF _Toc21340 \h </w:instrText>
      </w:r>
      <w:r>
        <w:fldChar w:fldCharType="separate"/>
      </w:r>
      <w:r>
        <w:t>48</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_Toc574 </w:instrText>
      </w:r>
      <w:r>
        <w:rPr>
          <w:rFonts w:hint="eastAsia"/>
          <w:lang w:val="en-US" w:eastAsia="zh-CN"/>
        </w:rPr>
        <w:fldChar w:fldCharType="separate"/>
      </w:r>
      <w:r>
        <w:t>图 20 重阳节职教学生献爱心</w:t>
      </w:r>
      <w:r>
        <w:tab/>
      </w:r>
      <w:r>
        <w:fldChar w:fldCharType="begin"/>
      </w:r>
      <w:r>
        <w:instrText xml:space="preserve"> PAGEREF _Toc574 \h </w:instrText>
      </w:r>
      <w:r>
        <w:fldChar w:fldCharType="separate"/>
      </w:r>
      <w:r>
        <w:t>50</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_Toc24702 </w:instrText>
      </w:r>
      <w:r>
        <w:rPr>
          <w:rFonts w:hint="eastAsia"/>
          <w:lang w:val="en-US" w:eastAsia="zh-CN"/>
        </w:rPr>
        <w:fldChar w:fldCharType="separate"/>
      </w:r>
      <w:r>
        <w:t>图 21 老年大学象棋大赛获奖者</w:t>
      </w:r>
      <w:r>
        <w:tab/>
      </w:r>
      <w:r>
        <w:fldChar w:fldCharType="begin"/>
      </w:r>
      <w:r>
        <w:instrText xml:space="preserve"> PAGEREF _Toc24702 \h </w:instrText>
      </w:r>
      <w:r>
        <w:fldChar w:fldCharType="separate"/>
      </w:r>
      <w:r>
        <w:t>52</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_Toc15357 </w:instrText>
      </w:r>
      <w:r>
        <w:rPr>
          <w:rFonts w:hint="eastAsia"/>
          <w:lang w:val="en-US" w:eastAsia="zh-CN"/>
        </w:rPr>
        <w:fldChar w:fldCharType="separate"/>
      </w:r>
      <w:r>
        <w:t>图 22 实习实训制度</w:t>
      </w:r>
      <w:r>
        <w:tab/>
      </w:r>
      <w:r>
        <w:fldChar w:fldCharType="begin"/>
      </w:r>
      <w:r>
        <w:instrText xml:space="preserve"> PAGEREF _Toc15357 \h </w:instrText>
      </w:r>
      <w:r>
        <w:fldChar w:fldCharType="separate"/>
      </w:r>
      <w:r>
        <w:t>53</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_Toc27964 </w:instrText>
      </w:r>
      <w:r>
        <w:rPr>
          <w:rFonts w:hint="eastAsia"/>
          <w:lang w:val="en-US" w:eastAsia="zh-CN"/>
        </w:rPr>
        <w:fldChar w:fldCharType="separate"/>
      </w:r>
      <w:r>
        <w:t>图 23 专业解析讲座</w:t>
      </w:r>
      <w:r>
        <w:tab/>
      </w:r>
      <w:r>
        <w:fldChar w:fldCharType="begin"/>
      </w:r>
      <w:r>
        <w:instrText xml:space="preserve"> PAGEREF _Toc27964 \h </w:instrText>
      </w:r>
      <w:r>
        <w:fldChar w:fldCharType="separate"/>
      </w:r>
      <w:r>
        <w:t>55</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_Toc10480 </w:instrText>
      </w:r>
      <w:r>
        <w:rPr>
          <w:rFonts w:hint="eastAsia"/>
          <w:lang w:val="en-US" w:eastAsia="zh-CN"/>
        </w:rPr>
        <w:fldChar w:fldCharType="separate"/>
      </w:r>
      <w:r>
        <w:t>图 24 鲁经理讲解职业发展</w:t>
      </w:r>
      <w:r>
        <w:tab/>
      </w:r>
      <w:r>
        <w:fldChar w:fldCharType="begin"/>
      </w:r>
      <w:r>
        <w:instrText xml:space="preserve"> PAGEREF _Toc10480 \h </w:instrText>
      </w:r>
      <w:r>
        <w:fldChar w:fldCharType="separate"/>
      </w:r>
      <w:r>
        <w:t>56</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_Toc17238 </w:instrText>
      </w:r>
      <w:r>
        <w:rPr>
          <w:rFonts w:hint="eastAsia"/>
          <w:lang w:val="en-US" w:eastAsia="zh-CN"/>
        </w:rPr>
        <w:fldChar w:fldCharType="separate"/>
      </w:r>
      <w:r>
        <w:t>图 25 急救实训</w:t>
      </w:r>
      <w:r>
        <w:tab/>
      </w:r>
      <w:r>
        <w:fldChar w:fldCharType="begin"/>
      </w:r>
      <w:r>
        <w:instrText xml:space="preserve"> PAGEREF _Toc17238 \h </w:instrText>
      </w:r>
      <w:r>
        <w:fldChar w:fldCharType="separate"/>
      </w:r>
      <w:r>
        <w:t>57</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_Toc6915 </w:instrText>
      </w:r>
      <w:r>
        <w:rPr>
          <w:rFonts w:hint="eastAsia"/>
          <w:lang w:val="en-US" w:eastAsia="zh-CN"/>
        </w:rPr>
        <w:fldChar w:fldCharType="separate"/>
      </w:r>
      <w:r>
        <w:t>图 26 消防实训</w:t>
      </w:r>
      <w:r>
        <w:tab/>
      </w:r>
      <w:r>
        <w:fldChar w:fldCharType="begin"/>
      </w:r>
      <w:r>
        <w:instrText xml:space="preserve"> PAGEREF _Toc6915 \h </w:instrText>
      </w:r>
      <w:r>
        <w:fldChar w:fldCharType="separate"/>
      </w:r>
      <w:r>
        <w:t>57</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_Toc20282 </w:instrText>
      </w:r>
      <w:r>
        <w:rPr>
          <w:rFonts w:hint="eastAsia"/>
          <w:lang w:val="en-US" w:eastAsia="zh-CN"/>
        </w:rPr>
        <w:fldChar w:fldCharType="separate"/>
      </w:r>
      <w:r>
        <w:t>图 27 影视传媒合影</w:t>
      </w:r>
      <w:r>
        <w:tab/>
      </w:r>
      <w:r>
        <w:fldChar w:fldCharType="begin"/>
      </w:r>
      <w:r>
        <w:instrText xml:space="preserve"> PAGEREF _Toc20282 \h </w:instrText>
      </w:r>
      <w:r>
        <w:fldChar w:fldCharType="separate"/>
      </w:r>
      <w:r>
        <w:t>59</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_Toc17949 </w:instrText>
      </w:r>
      <w:r>
        <w:rPr>
          <w:rFonts w:hint="eastAsia"/>
          <w:lang w:val="en-US" w:eastAsia="zh-CN"/>
        </w:rPr>
        <w:fldChar w:fldCharType="separate"/>
      </w:r>
      <w:r>
        <w:t>图 28 汽修专业“2+2+2”贯通培养通过审批</w:t>
      </w:r>
      <w:r>
        <w:tab/>
      </w:r>
      <w:r>
        <w:fldChar w:fldCharType="begin"/>
      </w:r>
      <w:r>
        <w:instrText xml:space="preserve"> PAGEREF _Toc17949 \h </w:instrText>
      </w:r>
      <w:r>
        <w:fldChar w:fldCharType="separate"/>
      </w:r>
      <w:r>
        <w:t>61</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_Toc26927 </w:instrText>
      </w:r>
      <w:r>
        <w:rPr>
          <w:rFonts w:hint="eastAsia"/>
          <w:lang w:val="en-US" w:eastAsia="zh-CN"/>
        </w:rPr>
        <w:fldChar w:fldCharType="separate"/>
      </w:r>
      <w:r>
        <w:t>图 29 全国智能新能源汽车行业产教融合共同体理事单位证书</w:t>
      </w:r>
      <w:r>
        <w:tab/>
      </w:r>
      <w:r>
        <w:fldChar w:fldCharType="begin"/>
      </w:r>
      <w:r>
        <w:instrText xml:space="preserve"> PAGEREF _Toc26927 \h </w:instrText>
      </w:r>
      <w:r>
        <w:fldChar w:fldCharType="separate"/>
      </w:r>
      <w:r>
        <w:t>61</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_Toc29432 </w:instrText>
      </w:r>
      <w:r>
        <w:rPr>
          <w:rFonts w:hint="eastAsia"/>
          <w:lang w:val="en-US" w:eastAsia="zh-CN"/>
        </w:rPr>
        <w:fldChar w:fldCharType="separate"/>
      </w:r>
      <w:r>
        <w:t>图 30 全国智能新能源汽车行业产教融合共同体理事单位证书</w:t>
      </w:r>
      <w:r>
        <w:tab/>
      </w:r>
      <w:r>
        <w:fldChar w:fldCharType="begin"/>
      </w:r>
      <w:r>
        <w:instrText xml:space="preserve"> PAGEREF _Toc29432 \h </w:instrText>
      </w:r>
      <w:r>
        <w:fldChar w:fldCharType="separate"/>
      </w:r>
      <w:r>
        <w:t>62</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_Toc16084 </w:instrText>
      </w:r>
      <w:r>
        <w:rPr>
          <w:rFonts w:hint="eastAsia"/>
          <w:lang w:val="en-US" w:eastAsia="zh-CN"/>
        </w:rPr>
        <w:fldChar w:fldCharType="separate"/>
      </w:r>
      <w:r>
        <w:t>图 31 汽修专业实习环境</w:t>
      </w:r>
      <w:r>
        <w:tab/>
      </w:r>
      <w:r>
        <w:fldChar w:fldCharType="begin"/>
      </w:r>
      <w:r>
        <w:instrText xml:space="preserve"> PAGEREF _Toc16084 \h </w:instrText>
      </w:r>
      <w:r>
        <w:fldChar w:fldCharType="separate"/>
      </w:r>
      <w:r>
        <w:t>63</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_Toc21553 </w:instrText>
      </w:r>
      <w:r>
        <w:rPr>
          <w:rFonts w:hint="eastAsia"/>
          <w:lang w:val="en-US" w:eastAsia="zh-CN"/>
        </w:rPr>
        <w:fldChar w:fldCharType="separate"/>
      </w:r>
      <w:r>
        <w:t>图 32 学生实训机房</w:t>
      </w:r>
      <w:r>
        <w:tab/>
      </w:r>
      <w:r>
        <w:fldChar w:fldCharType="begin"/>
      </w:r>
      <w:r>
        <w:instrText xml:space="preserve"> PAGEREF _Toc21553 \h </w:instrText>
      </w:r>
      <w:r>
        <w:fldChar w:fldCharType="separate"/>
      </w:r>
      <w:r>
        <w:t>64</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_Toc28873 </w:instrText>
      </w:r>
      <w:r>
        <w:rPr>
          <w:rFonts w:hint="eastAsia"/>
          <w:lang w:val="en-US" w:eastAsia="zh-CN"/>
        </w:rPr>
        <w:fldChar w:fldCharType="separate"/>
      </w:r>
      <w:r>
        <w:t xml:space="preserve">图 33 </w:t>
      </w:r>
      <w:r>
        <w:rPr>
          <w:rFonts w:hint="eastAsia"/>
          <w:lang w:eastAsia="zh-CN"/>
        </w:rPr>
        <w:t>县委领导县局领导莅临学校调研</w:t>
      </w:r>
      <w:r>
        <w:tab/>
      </w:r>
      <w:r>
        <w:fldChar w:fldCharType="begin"/>
      </w:r>
      <w:r>
        <w:instrText xml:space="preserve"> PAGEREF _Toc28873 \h </w:instrText>
      </w:r>
      <w:r>
        <w:fldChar w:fldCharType="separate"/>
      </w:r>
      <w:r>
        <w:t>66</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_Toc12699 </w:instrText>
      </w:r>
      <w:r>
        <w:rPr>
          <w:rFonts w:hint="eastAsia"/>
          <w:lang w:val="en-US" w:eastAsia="zh-CN"/>
        </w:rPr>
        <w:fldChar w:fldCharType="separate"/>
      </w:r>
      <w:r>
        <w:t>图 34 孟庆泉介绍学校概况</w:t>
      </w:r>
      <w:r>
        <w:tab/>
      </w:r>
      <w:r>
        <w:fldChar w:fldCharType="begin"/>
      </w:r>
      <w:r>
        <w:instrText xml:space="preserve"> PAGEREF _Toc12699 \h </w:instrText>
      </w:r>
      <w:r>
        <w:fldChar w:fldCharType="separate"/>
      </w:r>
      <w:r>
        <w:t>68</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_Toc14508 </w:instrText>
      </w:r>
      <w:r>
        <w:rPr>
          <w:rFonts w:hint="eastAsia"/>
          <w:lang w:val="en-US" w:eastAsia="zh-CN"/>
        </w:rPr>
        <w:fldChar w:fldCharType="separate"/>
      </w:r>
      <w:r>
        <w:t>图 35 赵兴文发表见解</w:t>
      </w:r>
      <w:r>
        <w:tab/>
      </w:r>
      <w:r>
        <w:fldChar w:fldCharType="begin"/>
      </w:r>
      <w:r>
        <w:instrText xml:space="preserve"> PAGEREF _Toc14508 \h </w:instrText>
      </w:r>
      <w:r>
        <w:fldChar w:fldCharType="separate"/>
      </w:r>
      <w:r>
        <w:t>68</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_Toc24025 </w:instrText>
      </w:r>
      <w:r>
        <w:rPr>
          <w:rFonts w:hint="eastAsia"/>
          <w:lang w:val="en-US" w:eastAsia="zh-CN"/>
        </w:rPr>
        <w:fldChar w:fldCharType="separate"/>
      </w:r>
      <w:r>
        <w:t>图 36 张海新总结说明</w:t>
      </w:r>
      <w:r>
        <w:tab/>
      </w:r>
      <w:r>
        <w:fldChar w:fldCharType="begin"/>
      </w:r>
      <w:r>
        <w:instrText xml:space="preserve"> PAGEREF _Toc24025 \h </w:instrText>
      </w:r>
      <w:r>
        <w:fldChar w:fldCharType="separate"/>
      </w:r>
      <w:r>
        <w:t>70</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_Toc11079 </w:instrText>
      </w:r>
      <w:r>
        <w:rPr>
          <w:rFonts w:hint="eastAsia"/>
          <w:lang w:val="en-US" w:eastAsia="zh-CN"/>
        </w:rPr>
        <w:fldChar w:fldCharType="separate"/>
      </w:r>
      <w:r>
        <w:rPr>
          <w:rFonts w:cs="Times New Roman"/>
        </w:rPr>
        <w:t xml:space="preserve">图 </w:t>
      </w:r>
      <w:r>
        <w:t xml:space="preserve">37 </w:t>
      </w:r>
      <w:r>
        <w:rPr>
          <w:rFonts w:cs="Times New Roman"/>
        </w:rPr>
        <w:t>陈立东做总结发言</w:t>
      </w:r>
      <w:r>
        <w:tab/>
      </w:r>
      <w:r>
        <w:fldChar w:fldCharType="begin"/>
      </w:r>
      <w:r>
        <w:instrText xml:space="preserve"> PAGEREF _Toc11079 \h </w:instrText>
      </w:r>
      <w:r>
        <w:fldChar w:fldCharType="separate"/>
      </w:r>
      <w:r>
        <w:t>70</w:t>
      </w:r>
      <w:r>
        <w:fldChar w:fldCharType="end"/>
      </w:r>
      <w:r>
        <w:rPr>
          <w:rFonts w:hint="eastAsia"/>
          <w:lang w:val="en-US" w:eastAsia="zh-CN"/>
        </w:rPr>
        <w:fldChar w:fldCharType="end"/>
      </w:r>
    </w:p>
    <w:p>
      <w:pPr>
        <w:rPr>
          <w:rFonts w:hint="eastAsia"/>
          <w:lang w:val="en-US" w:eastAsia="zh-CN"/>
        </w:rPr>
      </w:pPr>
      <w:r>
        <w:rPr>
          <w:rFonts w:hint="eastAsia"/>
          <w:lang w:val="en-US" w:eastAsia="zh-CN"/>
        </w:rPr>
        <w:fldChar w:fldCharType="end"/>
      </w:r>
    </w:p>
    <w:p>
      <w:pPr>
        <w:pStyle w:val="3"/>
        <w:rPr>
          <w:rFonts w:hint="eastAsia"/>
          <w:lang w:val="en-US" w:eastAsia="zh-CN"/>
        </w:rPr>
      </w:pPr>
    </w:p>
    <w:p>
      <w:pPr>
        <w:rPr>
          <w:rFonts w:hint="eastAsia"/>
          <w:lang w:val="en-US" w:eastAsia="zh-CN"/>
        </w:rPr>
      </w:pPr>
    </w:p>
    <w:p>
      <w:pPr>
        <w:pStyle w:val="2"/>
        <w:rPr>
          <w:rFonts w:hint="eastAsia"/>
          <w:lang w:val="en-US" w:eastAsia="zh-CN"/>
        </w:rPr>
      </w:pPr>
    </w:p>
    <w:p>
      <w:pPr>
        <w:pStyle w:val="2"/>
        <w:ind w:left="0" w:leftChars="0" w:firstLine="0" w:firstLineChars="0"/>
        <w:jc w:val="center"/>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表目录</w:t>
      </w:r>
    </w:p>
    <w:p>
      <w:pPr>
        <w:pStyle w:val="20"/>
        <w:tabs>
          <w:tab w:val="right" w:leader="dot" w:pos="8732"/>
        </w:tabs>
      </w:pPr>
      <w:r>
        <w:rPr>
          <w:rFonts w:hint="eastAsia"/>
          <w:lang w:val="en-US" w:eastAsia="zh-CN"/>
        </w:rPr>
        <w:fldChar w:fldCharType="begin"/>
      </w:r>
      <w:r>
        <w:rPr>
          <w:rFonts w:hint="eastAsia"/>
          <w:lang w:val="en-US" w:eastAsia="zh-CN"/>
        </w:rPr>
        <w:instrText xml:space="preserve">TOC \h \c "表"</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_Toc14906 </w:instrText>
      </w:r>
      <w:r>
        <w:rPr>
          <w:rFonts w:hint="eastAsia"/>
          <w:lang w:val="en-US" w:eastAsia="zh-CN"/>
        </w:rPr>
        <w:fldChar w:fldCharType="separate"/>
      </w:r>
      <w:r>
        <w:t>表 1 专业构成</w:t>
      </w:r>
      <w:r>
        <w:tab/>
      </w:r>
      <w:r>
        <w:fldChar w:fldCharType="begin"/>
      </w:r>
      <w:r>
        <w:instrText xml:space="preserve"> PAGEREF _Toc14906 \h </w:instrText>
      </w:r>
      <w:r>
        <w:fldChar w:fldCharType="separate"/>
      </w:r>
      <w:r>
        <w:t>1</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_Toc17184 </w:instrText>
      </w:r>
      <w:r>
        <w:rPr>
          <w:rFonts w:hint="eastAsia"/>
          <w:lang w:val="en-US" w:eastAsia="zh-CN"/>
        </w:rPr>
        <w:fldChar w:fldCharType="separate"/>
      </w:r>
      <w:r>
        <w:t xml:space="preserve">表 2 </w:t>
      </w:r>
      <w:r>
        <w:rPr>
          <w:rFonts w:hint="eastAsia"/>
          <w:lang w:eastAsia="zh-CN"/>
        </w:rPr>
        <w:t>各专业人数构成</w:t>
      </w:r>
      <w:r>
        <w:tab/>
      </w:r>
      <w:r>
        <w:fldChar w:fldCharType="begin"/>
      </w:r>
      <w:r>
        <w:instrText xml:space="preserve"> PAGEREF _Toc17184 \h </w:instrText>
      </w:r>
      <w:r>
        <w:fldChar w:fldCharType="separate"/>
      </w:r>
      <w:r>
        <w:t>2</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_Toc11031 </w:instrText>
      </w:r>
      <w:r>
        <w:rPr>
          <w:rFonts w:hint="eastAsia"/>
          <w:lang w:val="en-US" w:eastAsia="zh-CN"/>
        </w:rPr>
        <w:fldChar w:fldCharType="separate"/>
      </w:r>
      <w:r>
        <w:t xml:space="preserve">表 3 </w:t>
      </w:r>
      <w:r>
        <w:rPr>
          <w:rFonts w:hint="eastAsia"/>
          <w:lang w:eastAsia="zh-CN"/>
        </w:rPr>
        <w:t>教师结构</w:t>
      </w:r>
      <w:r>
        <w:tab/>
      </w:r>
      <w:r>
        <w:fldChar w:fldCharType="begin"/>
      </w:r>
      <w:r>
        <w:instrText xml:space="preserve"> PAGEREF _Toc11031 \h </w:instrText>
      </w:r>
      <w:r>
        <w:fldChar w:fldCharType="separate"/>
      </w:r>
      <w:r>
        <w:t>3</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_Toc28713 </w:instrText>
      </w:r>
      <w:r>
        <w:rPr>
          <w:rFonts w:hint="eastAsia"/>
          <w:lang w:val="en-US" w:eastAsia="zh-CN"/>
        </w:rPr>
        <w:fldChar w:fldCharType="separate"/>
      </w:r>
      <w:r>
        <w:t xml:space="preserve">表 4 </w:t>
      </w:r>
      <w:r>
        <w:rPr>
          <w:rFonts w:hint="eastAsia"/>
          <w:lang w:eastAsia="zh-CN"/>
        </w:rPr>
        <w:t>人才培养数据分析图</w:t>
      </w:r>
      <w:r>
        <w:tab/>
      </w:r>
      <w:r>
        <w:fldChar w:fldCharType="begin"/>
      </w:r>
      <w:r>
        <w:instrText xml:space="preserve"> PAGEREF _Toc28713 \h </w:instrText>
      </w:r>
      <w:r>
        <w:fldChar w:fldCharType="separate"/>
      </w:r>
      <w:r>
        <w:t>8</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_Toc24753 </w:instrText>
      </w:r>
      <w:r>
        <w:rPr>
          <w:rFonts w:hint="eastAsia"/>
          <w:lang w:val="en-US" w:eastAsia="zh-CN"/>
        </w:rPr>
        <w:fldChar w:fldCharType="separate"/>
      </w:r>
      <w:r>
        <w:rPr>
          <w:rFonts w:hint="eastAsia" w:ascii="Calibri" w:hAnsi="Calibri" w:eastAsia="宋体" w:cs="Times New Roman"/>
          <w:kern w:val="2"/>
          <w:szCs w:val="22"/>
          <w:lang w:val="en-US" w:eastAsia="zh-CN" w:bidi="ar-SA"/>
        </w:rPr>
        <w:t xml:space="preserve">表 </w:t>
      </w:r>
      <w:r>
        <w:t xml:space="preserve">5 </w:t>
      </w:r>
      <w:r>
        <w:rPr>
          <w:rFonts w:hint="eastAsia" w:ascii="Calibri" w:hAnsi="Calibri" w:eastAsia="宋体" w:cs="Times New Roman"/>
          <w:kern w:val="2"/>
          <w:szCs w:val="22"/>
          <w:lang w:val="en-US" w:eastAsia="zh-CN" w:bidi="ar-SA"/>
        </w:rPr>
        <w:t>服务贡献数据分析图</w:t>
      </w:r>
      <w:r>
        <w:tab/>
      </w:r>
      <w:r>
        <w:fldChar w:fldCharType="begin"/>
      </w:r>
      <w:r>
        <w:instrText xml:space="preserve"> PAGEREF _Toc24753 \h </w:instrText>
      </w:r>
      <w:r>
        <w:fldChar w:fldCharType="separate"/>
      </w:r>
      <w:r>
        <w:t>21</w:t>
      </w:r>
      <w:r>
        <w:fldChar w:fldCharType="end"/>
      </w:r>
      <w:r>
        <w:rPr>
          <w:rFonts w:hint="eastAsia"/>
          <w:lang w:val="en-US" w:eastAsia="zh-CN"/>
        </w:rPr>
        <w:fldChar w:fldCharType="end"/>
      </w:r>
    </w:p>
    <w:p>
      <w:pPr>
        <w:pStyle w:val="20"/>
        <w:tabs>
          <w:tab w:val="right" w:leader="dot" w:pos="8732"/>
        </w:tabs>
      </w:pPr>
      <w:r>
        <w:rPr>
          <w:rFonts w:hint="eastAsia"/>
          <w:lang w:val="en-US" w:eastAsia="zh-CN"/>
        </w:rPr>
        <w:fldChar w:fldCharType="begin"/>
      </w:r>
      <w:r>
        <w:rPr>
          <w:rFonts w:hint="eastAsia"/>
          <w:lang w:val="en-US" w:eastAsia="zh-CN"/>
        </w:rPr>
        <w:instrText xml:space="preserve"> HYPERLINK \l _Toc15874 </w:instrText>
      </w:r>
      <w:r>
        <w:rPr>
          <w:rFonts w:hint="eastAsia"/>
          <w:lang w:val="en-US" w:eastAsia="zh-CN"/>
        </w:rPr>
        <w:fldChar w:fldCharType="separate"/>
      </w:r>
      <w:r>
        <w:t xml:space="preserve">表 6 </w:t>
      </w:r>
      <w:r>
        <w:rPr>
          <w:rFonts w:hint="eastAsia"/>
          <w:lang w:eastAsia="zh-CN"/>
        </w:rPr>
        <w:t>经费投入</w:t>
      </w:r>
      <w:r>
        <w:tab/>
      </w:r>
      <w:r>
        <w:fldChar w:fldCharType="begin"/>
      </w:r>
      <w:r>
        <w:instrText xml:space="preserve"> PAGEREF _Toc15874 \h </w:instrText>
      </w:r>
      <w:r>
        <w:fldChar w:fldCharType="separate"/>
      </w:r>
      <w:r>
        <w:t>73</w:t>
      </w:r>
      <w:r>
        <w:fldChar w:fldCharType="end"/>
      </w:r>
      <w:r>
        <w:rPr>
          <w:rFonts w:hint="eastAsia"/>
          <w:lang w:val="en-US" w:eastAsia="zh-CN"/>
        </w:rPr>
        <w:fldChar w:fldCharType="end"/>
      </w:r>
    </w:p>
    <w:p>
      <w:pPr>
        <w:pStyle w:val="20"/>
        <w:tabs>
          <w:tab w:val="right" w:leader="dot" w:pos="8732"/>
        </w:tabs>
        <w:rPr>
          <w:rFonts w:hint="default" w:ascii="仿宋" w:hAnsi="仿宋" w:eastAsia="仿宋" w:cs="仿宋"/>
          <w:bCs/>
          <w:kern w:val="2"/>
          <w:szCs w:val="24"/>
          <w:lang w:val="en-US" w:eastAsia="zh-CN" w:bidi="ar-SA"/>
        </w:rPr>
      </w:pPr>
      <w:r>
        <w:rPr>
          <w:rFonts w:hint="eastAsia"/>
          <w:lang w:val="en-US" w:eastAsia="zh-CN"/>
        </w:rPr>
        <w:fldChar w:fldCharType="end"/>
      </w:r>
      <w:r>
        <w:rPr>
          <w:rFonts w:hint="eastAsia" w:ascii="仿宋" w:hAnsi="仿宋" w:eastAsia="仿宋" w:cs="仿宋"/>
          <w:bCs/>
          <w:kern w:val="2"/>
          <w:szCs w:val="24"/>
          <w:lang w:val="en-US" w:eastAsia="zh-CN" w:bidi="ar-SA"/>
        </w:rPr>
        <w:t>附表</w:t>
      </w:r>
      <w:r>
        <w:rPr>
          <w:rFonts w:hint="default" w:ascii="仿宋" w:hAnsi="仿宋" w:eastAsia="仿宋" w:cs="仿宋"/>
          <w:bCs/>
          <w:kern w:val="2"/>
          <w:szCs w:val="24"/>
          <w:lang w:val="en-US" w:eastAsia="zh-CN" w:bidi="ar-SA"/>
        </w:rPr>
        <w:t xml:space="preserve"> </w:t>
      </w:r>
      <w:r>
        <w:rPr>
          <w:rFonts w:hint="eastAsia" w:ascii="仿宋" w:hAnsi="仿宋" w:eastAsia="仿宋" w:cs="仿宋"/>
          <w:bCs/>
          <w:kern w:val="2"/>
          <w:szCs w:val="24"/>
          <w:lang w:val="en-US" w:eastAsia="zh-CN" w:bidi="ar-SA"/>
        </w:rPr>
        <w:t xml:space="preserve"> 表1人才培养质量计分卡</w:t>
      </w:r>
      <w:r>
        <w:rPr>
          <w:rFonts w:hint="eastAsia" w:ascii="仿宋" w:hAnsi="仿宋" w:eastAsia="仿宋" w:cs="仿宋"/>
          <w:bCs/>
          <w:kern w:val="2"/>
          <w:szCs w:val="24"/>
          <w:lang w:val="en-US" w:eastAsia="zh-CN" w:bidi="ar-SA"/>
        </w:rPr>
        <w:tab/>
      </w:r>
      <w:r>
        <w:rPr>
          <w:rFonts w:hint="default" w:ascii="仿宋" w:hAnsi="仿宋" w:eastAsia="仿宋" w:cs="仿宋"/>
          <w:bCs/>
          <w:kern w:val="2"/>
          <w:szCs w:val="24"/>
          <w:lang w:val="en-US" w:eastAsia="zh-CN" w:bidi="ar-SA"/>
        </w:rPr>
        <w:t>80</w:t>
      </w:r>
    </w:p>
    <w:p>
      <w:pPr>
        <w:pStyle w:val="20"/>
        <w:tabs>
          <w:tab w:val="right" w:leader="dot" w:pos="8732"/>
        </w:tabs>
        <w:rPr>
          <w:rFonts w:hint="default" w:ascii="仿宋" w:hAnsi="仿宋" w:eastAsia="仿宋" w:cs="仿宋"/>
          <w:bCs/>
          <w:kern w:val="2"/>
          <w:szCs w:val="24"/>
          <w:lang w:val="en-US" w:eastAsia="zh-CN" w:bidi="ar-SA"/>
        </w:rPr>
      </w:pPr>
      <w:r>
        <w:rPr>
          <w:rFonts w:hint="eastAsia" w:ascii="仿宋" w:hAnsi="仿宋" w:eastAsia="仿宋" w:cs="仿宋"/>
          <w:bCs/>
          <w:kern w:val="2"/>
          <w:szCs w:val="24"/>
          <w:lang w:val="en-US" w:eastAsia="zh-CN" w:bidi="ar-SA"/>
        </w:rPr>
        <w:t>附表</w:t>
      </w:r>
      <w:r>
        <w:rPr>
          <w:rFonts w:hint="default" w:ascii="仿宋" w:hAnsi="仿宋" w:eastAsia="仿宋" w:cs="仿宋"/>
          <w:bCs/>
          <w:kern w:val="2"/>
          <w:szCs w:val="24"/>
          <w:lang w:val="en-US" w:eastAsia="zh-CN" w:bidi="ar-SA"/>
        </w:rPr>
        <w:t xml:space="preserve">  </w:t>
      </w:r>
      <w:r>
        <w:rPr>
          <w:rFonts w:hint="eastAsia" w:ascii="仿宋" w:hAnsi="仿宋" w:eastAsia="仿宋" w:cs="仿宋"/>
          <w:bCs/>
          <w:kern w:val="2"/>
          <w:szCs w:val="24"/>
          <w:lang w:val="en-US" w:eastAsia="zh-CN" w:bidi="ar-SA"/>
        </w:rPr>
        <w:t>表</w:t>
      </w:r>
      <w:r>
        <w:rPr>
          <w:rFonts w:hint="default" w:ascii="仿宋" w:hAnsi="仿宋" w:eastAsia="仿宋" w:cs="仿宋"/>
          <w:bCs/>
          <w:kern w:val="2"/>
          <w:szCs w:val="24"/>
          <w:lang w:val="en-US" w:eastAsia="zh-CN" w:bidi="ar-SA"/>
        </w:rPr>
        <w:t>2</w:t>
      </w:r>
      <w:r>
        <w:rPr>
          <w:rFonts w:hint="eastAsia" w:ascii="仿宋" w:hAnsi="仿宋" w:eastAsia="仿宋" w:cs="仿宋"/>
          <w:bCs/>
          <w:kern w:val="2"/>
          <w:szCs w:val="24"/>
          <w:lang w:val="en-US" w:eastAsia="zh-CN" w:bidi="ar-SA"/>
        </w:rPr>
        <w:t xml:space="preserve"> 教学资源表</w:t>
      </w:r>
      <w:r>
        <w:rPr>
          <w:rFonts w:hint="eastAsia" w:ascii="仿宋" w:hAnsi="仿宋" w:eastAsia="仿宋" w:cs="仿宋"/>
          <w:bCs/>
          <w:kern w:val="2"/>
          <w:szCs w:val="24"/>
          <w:lang w:val="en-US" w:eastAsia="zh-CN" w:bidi="ar-SA"/>
        </w:rPr>
        <w:tab/>
      </w:r>
      <w:r>
        <w:rPr>
          <w:rFonts w:hint="default" w:ascii="仿宋" w:hAnsi="仿宋" w:eastAsia="仿宋" w:cs="仿宋"/>
          <w:bCs/>
          <w:kern w:val="2"/>
          <w:szCs w:val="24"/>
          <w:lang w:val="en-US" w:eastAsia="zh-CN" w:bidi="ar-SA"/>
        </w:rPr>
        <w:t>81</w:t>
      </w:r>
    </w:p>
    <w:p>
      <w:pPr>
        <w:pStyle w:val="20"/>
        <w:tabs>
          <w:tab w:val="right" w:leader="dot" w:pos="8732"/>
        </w:tabs>
        <w:rPr>
          <w:rFonts w:hint="default" w:ascii="仿宋" w:hAnsi="仿宋" w:eastAsia="仿宋" w:cs="仿宋"/>
          <w:bCs/>
          <w:kern w:val="2"/>
          <w:szCs w:val="24"/>
          <w:lang w:val="en-US" w:eastAsia="zh-CN" w:bidi="ar-SA"/>
        </w:rPr>
      </w:pPr>
      <w:r>
        <w:rPr>
          <w:rFonts w:hint="eastAsia" w:ascii="仿宋" w:hAnsi="仿宋" w:eastAsia="仿宋" w:cs="仿宋"/>
          <w:bCs/>
          <w:kern w:val="2"/>
          <w:szCs w:val="24"/>
          <w:lang w:val="en-US" w:eastAsia="zh-CN" w:bidi="ar-SA"/>
        </w:rPr>
        <w:t>附表</w:t>
      </w:r>
      <w:r>
        <w:rPr>
          <w:rFonts w:hint="default" w:ascii="仿宋" w:hAnsi="仿宋" w:eastAsia="仿宋" w:cs="仿宋"/>
          <w:bCs/>
          <w:kern w:val="2"/>
          <w:szCs w:val="24"/>
          <w:lang w:val="en-US" w:eastAsia="zh-CN" w:bidi="ar-SA"/>
        </w:rPr>
        <w:t xml:space="preserve">  </w:t>
      </w:r>
      <w:r>
        <w:rPr>
          <w:rFonts w:hint="eastAsia" w:ascii="仿宋" w:hAnsi="仿宋" w:eastAsia="仿宋" w:cs="仿宋"/>
          <w:bCs/>
          <w:kern w:val="2"/>
          <w:szCs w:val="24"/>
          <w:lang w:val="en-US" w:eastAsia="zh-CN" w:bidi="ar-SA"/>
        </w:rPr>
        <w:t>表</w:t>
      </w:r>
      <w:r>
        <w:rPr>
          <w:rFonts w:hint="default" w:ascii="仿宋" w:hAnsi="仿宋" w:eastAsia="仿宋" w:cs="仿宋"/>
          <w:bCs/>
          <w:kern w:val="2"/>
          <w:szCs w:val="24"/>
          <w:lang w:val="en-US" w:eastAsia="zh-CN" w:bidi="ar-SA"/>
        </w:rPr>
        <w:t>3</w:t>
      </w:r>
      <w:r>
        <w:rPr>
          <w:rFonts w:hint="eastAsia" w:ascii="仿宋" w:hAnsi="仿宋" w:eastAsia="仿宋" w:cs="仿宋"/>
          <w:bCs/>
          <w:kern w:val="2"/>
          <w:szCs w:val="24"/>
          <w:lang w:val="en-US" w:eastAsia="zh-CN" w:bidi="ar-SA"/>
        </w:rPr>
        <w:t xml:space="preserve"> 服务贡献表</w:t>
      </w:r>
      <w:r>
        <w:rPr>
          <w:rFonts w:hint="eastAsia" w:ascii="仿宋" w:hAnsi="仿宋" w:eastAsia="仿宋" w:cs="仿宋"/>
          <w:bCs/>
          <w:kern w:val="2"/>
          <w:szCs w:val="24"/>
          <w:lang w:val="en-US" w:eastAsia="zh-CN" w:bidi="ar-SA"/>
        </w:rPr>
        <w:tab/>
      </w:r>
      <w:r>
        <w:rPr>
          <w:rFonts w:hint="default" w:ascii="仿宋" w:hAnsi="仿宋" w:eastAsia="仿宋" w:cs="仿宋"/>
          <w:bCs/>
          <w:kern w:val="2"/>
          <w:szCs w:val="24"/>
          <w:lang w:val="en-US" w:eastAsia="zh-CN" w:bidi="ar-SA"/>
        </w:rPr>
        <w:t>85</w:t>
      </w:r>
    </w:p>
    <w:p>
      <w:pPr>
        <w:pStyle w:val="20"/>
        <w:tabs>
          <w:tab w:val="right" w:leader="dot" w:pos="8732"/>
        </w:tabs>
        <w:rPr>
          <w:rFonts w:hint="default" w:ascii="仿宋" w:hAnsi="仿宋" w:eastAsia="仿宋" w:cs="仿宋"/>
          <w:bCs/>
          <w:kern w:val="2"/>
          <w:szCs w:val="24"/>
          <w:lang w:val="en-US" w:eastAsia="zh-CN" w:bidi="ar-SA"/>
        </w:rPr>
      </w:pPr>
      <w:r>
        <w:rPr>
          <w:rFonts w:hint="eastAsia" w:ascii="仿宋" w:hAnsi="仿宋" w:eastAsia="仿宋" w:cs="仿宋"/>
          <w:bCs/>
          <w:kern w:val="2"/>
          <w:szCs w:val="24"/>
          <w:lang w:val="en-US" w:eastAsia="zh-CN" w:bidi="ar-SA"/>
        </w:rPr>
        <w:t>附表</w:t>
      </w:r>
      <w:r>
        <w:rPr>
          <w:rFonts w:hint="default" w:ascii="仿宋" w:hAnsi="仿宋" w:eastAsia="仿宋" w:cs="仿宋"/>
          <w:bCs/>
          <w:kern w:val="2"/>
          <w:szCs w:val="24"/>
          <w:lang w:val="en-US" w:eastAsia="zh-CN" w:bidi="ar-SA"/>
        </w:rPr>
        <w:t xml:space="preserve">  </w:t>
      </w:r>
      <w:r>
        <w:rPr>
          <w:rFonts w:hint="eastAsia" w:ascii="仿宋" w:hAnsi="仿宋" w:eastAsia="仿宋" w:cs="仿宋"/>
          <w:bCs/>
          <w:kern w:val="2"/>
          <w:szCs w:val="24"/>
          <w:lang w:val="en-US" w:eastAsia="zh-CN" w:bidi="ar-SA"/>
        </w:rPr>
        <w:t>表</w:t>
      </w:r>
      <w:r>
        <w:rPr>
          <w:rFonts w:hint="default" w:ascii="仿宋" w:hAnsi="仿宋" w:eastAsia="仿宋" w:cs="仿宋"/>
          <w:bCs/>
          <w:kern w:val="2"/>
          <w:szCs w:val="24"/>
          <w:lang w:val="en-US" w:eastAsia="zh-CN" w:bidi="ar-SA"/>
        </w:rPr>
        <w:t xml:space="preserve">4 </w:t>
      </w:r>
      <w:r>
        <w:rPr>
          <w:rFonts w:hint="eastAsia" w:ascii="仿宋" w:hAnsi="仿宋" w:eastAsia="仿宋" w:cs="仿宋"/>
          <w:bCs/>
          <w:kern w:val="2"/>
          <w:szCs w:val="24"/>
          <w:lang w:val="en-US" w:eastAsia="zh-CN" w:bidi="ar-SA"/>
        </w:rPr>
        <w:t>国际影响表</w:t>
      </w:r>
      <w:r>
        <w:rPr>
          <w:rFonts w:hint="eastAsia" w:ascii="仿宋" w:hAnsi="仿宋" w:eastAsia="仿宋" w:cs="仿宋"/>
          <w:bCs/>
          <w:kern w:val="2"/>
          <w:szCs w:val="24"/>
          <w:lang w:val="en-US" w:eastAsia="zh-CN" w:bidi="ar-SA"/>
        </w:rPr>
        <w:tab/>
      </w:r>
      <w:r>
        <w:rPr>
          <w:rFonts w:hint="default" w:ascii="仿宋" w:hAnsi="仿宋" w:eastAsia="仿宋" w:cs="仿宋"/>
          <w:bCs/>
          <w:kern w:val="2"/>
          <w:szCs w:val="24"/>
          <w:lang w:val="en-US" w:eastAsia="zh-CN" w:bidi="ar-SA"/>
        </w:rPr>
        <w:t>87</w:t>
      </w:r>
    </w:p>
    <w:p>
      <w:pPr>
        <w:pStyle w:val="20"/>
        <w:tabs>
          <w:tab w:val="right" w:leader="dot" w:pos="8732"/>
        </w:tabs>
        <w:rPr>
          <w:rFonts w:hint="default" w:ascii="仿宋" w:hAnsi="仿宋" w:eastAsia="仿宋" w:cs="仿宋"/>
          <w:bCs/>
          <w:kern w:val="2"/>
          <w:szCs w:val="24"/>
          <w:lang w:val="en-US" w:eastAsia="zh-CN" w:bidi="ar-SA"/>
        </w:rPr>
      </w:pPr>
      <w:r>
        <w:rPr>
          <w:rFonts w:hint="eastAsia" w:ascii="仿宋" w:hAnsi="仿宋" w:eastAsia="仿宋" w:cs="仿宋"/>
          <w:bCs/>
          <w:kern w:val="2"/>
          <w:szCs w:val="24"/>
          <w:lang w:val="en-US" w:eastAsia="zh-CN" w:bidi="ar-SA"/>
        </w:rPr>
        <w:t>附表</w:t>
      </w:r>
      <w:r>
        <w:rPr>
          <w:rFonts w:hint="default" w:ascii="仿宋" w:hAnsi="仿宋" w:eastAsia="仿宋" w:cs="仿宋"/>
          <w:bCs/>
          <w:kern w:val="2"/>
          <w:szCs w:val="24"/>
          <w:lang w:val="en-US" w:eastAsia="zh-CN" w:bidi="ar-SA"/>
        </w:rPr>
        <w:t xml:space="preserve">  </w:t>
      </w:r>
      <w:r>
        <w:rPr>
          <w:rFonts w:hint="eastAsia" w:ascii="仿宋" w:hAnsi="仿宋" w:eastAsia="仿宋" w:cs="仿宋"/>
          <w:bCs/>
          <w:kern w:val="2"/>
          <w:szCs w:val="24"/>
          <w:lang w:val="en-US" w:eastAsia="zh-CN" w:bidi="ar-SA"/>
        </w:rPr>
        <w:t>表</w:t>
      </w:r>
      <w:r>
        <w:rPr>
          <w:rFonts w:hint="default" w:ascii="仿宋" w:hAnsi="仿宋" w:eastAsia="仿宋" w:cs="仿宋"/>
          <w:bCs/>
          <w:kern w:val="2"/>
          <w:szCs w:val="24"/>
          <w:lang w:val="en-US" w:eastAsia="zh-CN" w:bidi="ar-SA"/>
        </w:rPr>
        <w:t>5</w:t>
      </w:r>
      <w:r>
        <w:rPr>
          <w:rFonts w:hint="eastAsia" w:ascii="仿宋" w:hAnsi="仿宋" w:eastAsia="仿宋" w:cs="仿宋"/>
          <w:bCs/>
          <w:kern w:val="2"/>
          <w:szCs w:val="24"/>
          <w:lang w:val="en-US" w:eastAsia="zh-CN" w:bidi="ar-SA"/>
        </w:rPr>
        <w:t xml:space="preserve"> 落实政策表</w:t>
      </w:r>
      <w:r>
        <w:rPr>
          <w:rFonts w:hint="eastAsia" w:ascii="仿宋" w:hAnsi="仿宋" w:eastAsia="仿宋" w:cs="仿宋"/>
          <w:bCs/>
          <w:kern w:val="2"/>
          <w:szCs w:val="24"/>
          <w:lang w:val="en-US" w:eastAsia="zh-CN" w:bidi="ar-SA"/>
        </w:rPr>
        <w:tab/>
      </w:r>
      <w:r>
        <w:rPr>
          <w:rFonts w:hint="default" w:ascii="仿宋" w:hAnsi="仿宋" w:eastAsia="仿宋" w:cs="仿宋"/>
          <w:bCs/>
          <w:kern w:val="2"/>
          <w:szCs w:val="24"/>
          <w:lang w:val="en-US" w:eastAsia="zh-CN" w:bidi="ar-SA"/>
        </w:rPr>
        <w:t>88</w:t>
      </w:r>
    </w:p>
    <w:p>
      <w:pPr>
        <w:pStyle w:val="3"/>
        <w:rPr>
          <w:rFonts w:hint="eastAsia"/>
          <w:lang w:val="en-US" w:eastAsia="zh-CN"/>
        </w:rPr>
        <w:sectPr>
          <w:footerReference r:id="rId12" w:type="first"/>
          <w:footerReference r:id="rId11" w:type="default"/>
          <w:pgSz w:w="11906" w:h="16838"/>
          <w:pgMar w:top="1440" w:right="1587" w:bottom="1440" w:left="1587" w:header="851" w:footer="992"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pPr>
        <w:pStyle w:val="3"/>
        <w:rPr>
          <w:rFonts w:hint="default"/>
          <w:lang w:val="en-US" w:eastAsia="zh-CN"/>
        </w:rPr>
      </w:pPr>
    </w:p>
    <w:p>
      <w:pPr>
        <w:pStyle w:val="3"/>
        <w:rPr>
          <w:rFonts w:hint="eastAsia"/>
          <w:lang w:val="en-US" w:eastAsia="zh-CN"/>
        </w:rPr>
      </w:pPr>
    </w:p>
    <w:p>
      <w:pPr>
        <w:shd w:val="clear" w:fill="FFFFFF" w:themeFill="background1"/>
        <w:jc w:val="center"/>
        <w:rPr>
          <w:rFonts w:hint="eastAsia" w:ascii="宋体" w:hAnsi="宋体" w:cs="宋体"/>
          <w:b/>
          <w:bCs/>
          <w:sz w:val="44"/>
          <w:szCs w:val="44"/>
        </w:rPr>
      </w:pPr>
    </w:p>
    <w:p>
      <w:pPr>
        <w:shd w:val="clear" w:fill="FFFFFF" w:themeFill="background1"/>
        <w:jc w:val="center"/>
        <w:outlineLvl w:val="9"/>
        <w:rPr>
          <w:rFonts w:ascii="宋体" w:hAnsi="宋体" w:cs="宋体"/>
          <w:b/>
          <w:bCs/>
          <w:sz w:val="44"/>
          <w:szCs w:val="44"/>
        </w:rPr>
      </w:pPr>
      <w:r>
        <w:rPr>
          <w:rFonts w:hint="eastAsia" w:ascii="宋体" w:hAnsi="宋体" w:cs="宋体"/>
          <w:b/>
          <w:bCs/>
          <w:sz w:val="44"/>
          <w:szCs w:val="44"/>
        </w:rPr>
        <w:t>质量年度报告（202</w:t>
      </w:r>
      <w:r>
        <w:rPr>
          <w:rFonts w:hint="eastAsia" w:ascii="宋体" w:hAnsi="宋体" w:cs="宋体"/>
          <w:b/>
          <w:bCs/>
          <w:sz w:val="44"/>
          <w:szCs w:val="44"/>
          <w:lang w:val="en-US" w:eastAsia="zh-CN"/>
        </w:rPr>
        <w:t>4年</w:t>
      </w:r>
      <w:r>
        <w:rPr>
          <w:rFonts w:hint="eastAsia" w:ascii="宋体" w:hAnsi="宋体" w:cs="宋体"/>
          <w:b/>
          <w:bCs/>
          <w:sz w:val="44"/>
          <w:szCs w:val="44"/>
        </w:rPr>
        <w:t>）</w:t>
      </w:r>
    </w:p>
    <w:p>
      <w:pPr>
        <w:shd w:val="clear" w:fill="FFFFFF" w:themeFill="background1"/>
        <w:spacing w:beforeLines="50"/>
        <w:jc w:val="center"/>
        <w:outlineLvl w:val="9"/>
        <w:rPr>
          <w:rFonts w:ascii="楷体" w:hAnsi="楷体" w:eastAsia="楷体" w:cs="楷体"/>
          <w:sz w:val="32"/>
          <w:szCs w:val="32"/>
        </w:rPr>
      </w:pPr>
      <w:r>
        <w:rPr>
          <w:rFonts w:hint="eastAsia" w:ascii="楷体" w:hAnsi="楷体" w:eastAsia="楷体" w:cs="楷体"/>
          <w:sz w:val="32"/>
          <w:szCs w:val="32"/>
        </w:rPr>
        <w:t>涿鹿县职业技术教育中心</w:t>
      </w:r>
    </w:p>
    <w:p>
      <w:pPr>
        <w:shd w:val="clear" w:fill="FFFFFF" w:themeFill="background1"/>
        <w:jc w:val="center"/>
        <w:outlineLvl w:val="9"/>
        <w:rPr>
          <w:rFonts w:hint="eastAsia" w:ascii="楷体" w:hAnsi="楷体" w:eastAsia="楷体"/>
          <w:bCs/>
          <w:sz w:val="32"/>
          <w:szCs w:val="32"/>
        </w:rPr>
      </w:pPr>
      <w:r>
        <w:rPr>
          <w:rFonts w:hint="eastAsia" w:ascii="楷体" w:hAnsi="楷体" w:eastAsia="楷体"/>
          <w:bCs/>
          <w:sz w:val="32"/>
          <w:szCs w:val="32"/>
        </w:rPr>
        <w:t>202</w:t>
      </w:r>
      <w:r>
        <w:rPr>
          <w:rFonts w:hint="eastAsia" w:ascii="楷体" w:hAnsi="楷体" w:eastAsia="楷体"/>
          <w:bCs/>
          <w:sz w:val="32"/>
          <w:szCs w:val="32"/>
          <w:lang w:val="en-US" w:eastAsia="zh-CN"/>
        </w:rPr>
        <w:t>4</w:t>
      </w:r>
      <w:r>
        <w:rPr>
          <w:rFonts w:hint="eastAsia" w:ascii="楷体" w:hAnsi="楷体" w:eastAsia="楷体"/>
          <w:bCs/>
          <w:sz w:val="32"/>
          <w:szCs w:val="32"/>
        </w:rPr>
        <w:t>年</w:t>
      </w:r>
      <w:r>
        <w:rPr>
          <w:rFonts w:hint="default" w:ascii="楷体" w:hAnsi="楷体" w:eastAsia="楷体"/>
          <w:bCs/>
          <w:sz w:val="32"/>
          <w:szCs w:val="32"/>
          <w:lang w:val="en-US" w:eastAsia="zh-CN"/>
        </w:rPr>
        <w:t>12</w:t>
      </w:r>
      <w:r>
        <w:rPr>
          <w:rFonts w:hint="eastAsia" w:ascii="楷体" w:hAnsi="楷体" w:eastAsia="楷体"/>
          <w:bCs/>
          <w:sz w:val="32"/>
          <w:szCs w:val="32"/>
        </w:rPr>
        <w:t>月</w:t>
      </w:r>
    </w:p>
    <w:p>
      <w:pPr>
        <w:shd w:val="clear" w:fill="FFFFFF" w:themeFill="background1"/>
        <w:jc w:val="both"/>
        <w:rPr>
          <w:rFonts w:hint="eastAsia" w:ascii="楷体" w:hAnsi="楷体" w:eastAsia="楷体"/>
          <w:bCs/>
          <w:sz w:val="32"/>
          <w:szCs w:val="32"/>
        </w:rPr>
      </w:pPr>
    </w:p>
    <w:p>
      <w:pPr>
        <w:pStyle w:val="5"/>
        <w:keepNext/>
        <w:keepLines/>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left"/>
        <w:textAlignment w:val="auto"/>
        <w:outlineLvl w:val="0"/>
        <w:rPr>
          <w:rFonts w:hint="eastAsia"/>
          <w:b w:val="0"/>
          <w:bCs/>
        </w:rPr>
      </w:pPr>
      <w:bookmarkStart w:id="0" w:name="_Toc7613"/>
      <w:bookmarkStart w:id="1" w:name="_Toc24490"/>
      <w:bookmarkStart w:id="2" w:name="_Toc26363"/>
      <w:r>
        <w:rPr>
          <w:rFonts w:hint="eastAsia"/>
          <w:b w:val="0"/>
          <w:bCs/>
          <w:lang w:val="en-US" w:eastAsia="zh-CN"/>
        </w:rPr>
        <w:t>一、</w:t>
      </w:r>
      <w:r>
        <w:rPr>
          <w:rFonts w:hint="eastAsia"/>
          <w:b w:val="0"/>
          <w:bCs/>
        </w:rPr>
        <w:t>学校基本情况</w:t>
      </w:r>
      <w:bookmarkEnd w:id="0"/>
      <w:bookmarkEnd w:id="1"/>
      <w:bookmarkEnd w:id="2"/>
      <w:bookmarkStart w:id="3" w:name="_Toc25330"/>
    </w:p>
    <w:p>
      <w:pPr>
        <w:keepNext w:val="0"/>
        <w:keepLines w:val="0"/>
        <w:pageBreakBefore w:val="0"/>
        <w:widowControl w:val="0"/>
        <w:kinsoku/>
        <w:wordWrap/>
        <w:overflowPunct/>
        <w:topLinePunct w:val="0"/>
        <w:autoSpaceDE/>
        <w:autoSpaceDN/>
        <w:bidi w:val="0"/>
        <w:adjustRightInd/>
        <w:snapToGrid/>
        <w:spacing w:line="560" w:lineRule="exact"/>
        <w:ind w:right="0" w:rightChars="0" w:firstLine="320" w:firstLineChars="100"/>
        <w:jc w:val="left"/>
        <w:textAlignment w:val="auto"/>
        <w:outlineLvl w:val="1"/>
        <w:rPr>
          <w:rFonts w:hint="eastAsia" w:ascii="楷体" w:hAnsi="楷体" w:eastAsia="楷体" w:cs="楷体"/>
          <w:b w:val="0"/>
          <w:bCs/>
          <w:kern w:val="2"/>
          <w:sz w:val="32"/>
          <w:szCs w:val="22"/>
          <w:lang w:val="en-US" w:eastAsia="zh-CN" w:bidi="ar-SA"/>
        </w:rPr>
      </w:pPr>
      <w:bookmarkStart w:id="4" w:name="_Toc26065"/>
      <w:bookmarkStart w:id="5" w:name="_Toc16897"/>
      <w:r>
        <w:rPr>
          <w:rFonts w:hint="eastAsia" w:ascii="楷体" w:hAnsi="楷体" w:eastAsia="楷体" w:cs="楷体"/>
          <w:b w:val="0"/>
          <w:bCs/>
          <w:kern w:val="2"/>
          <w:sz w:val="32"/>
          <w:szCs w:val="22"/>
          <w:lang w:val="en-US" w:eastAsia="zh-CN" w:bidi="ar-SA"/>
        </w:rPr>
        <w:t>（一）学校</w:t>
      </w:r>
      <w:bookmarkEnd w:id="3"/>
      <w:r>
        <w:rPr>
          <w:rFonts w:hint="eastAsia" w:ascii="楷体" w:hAnsi="楷体" w:eastAsia="楷体" w:cs="楷体"/>
          <w:b w:val="0"/>
          <w:bCs/>
          <w:kern w:val="2"/>
          <w:sz w:val="32"/>
          <w:szCs w:val="22"/>
          <w:lang w:val="en-US" w:eastAsia="zh-CN" w:bidi="ar-SA"/>
        </w:rPr>
        <w:t>概况</w:t>
      </w:r>
      <w:bookmarkEnd w:id="4"/>
      <w:bookmarkEnd w:id="5"/>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30" w:firstLineChars="300"/>
        <w:jc w:val="left"/>
        <w:textAlignment w:val="auto"/>
        <w:outlineLvl w:val="9"/>
        <w:rPr>
          <w:rFonts w:hint="eastAsia" w:ascii="仿宋" w:hAnsi="仿宋" w:eastAsia="仿宋" w:cs="仿宋"/>
          <w:sz w:val="32"/>
          <w:szCs w:val="32"/>
          <w:lang w:val="en-US" w:eastAsia="zh-CN"/>
        </w:rPr>
      </w:pPr>
      <w:r>
        <w:drawing>
          <wp:anchor distT="0" distB="0" distL="114300" distR="114300" simplePos="0" relativeHeight="251699200" behindDoc="0" locked="0" layoutInCell="1" allowOverlap="1">
            <wp:simplePos x="0" y="0"/>
            <wp:positionH relativeFrom="column">
              <wp:posOffset>798195</wp:posOffset>
            </wp:positionH>
            <wp:positionV relativeFrom="paragraph">
              <wp:posOffset>2827020</wp:posOffset>
            </wp:positionV>
            <wp:extent cx="4015105" cy="2550795"/>
            <wp:effectExtent l="4445" t="4445" r="19050" b="5080"/>
            <wp:wrapTopAndBottom/>
            <wp:docPr id="69"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hint="eastAsia" w:ascii="仿宋" w:hAnsi="仿宋" w:eastAsia="仿宋" w:cs="仿宋"/>
          <w:sz w:val="32"/>
          <w:szCs w:val="32"/>
        </w:rPr>
        <w:t>涿鹿</w:t>
      </w:r>
      <w:r>
        <w:rPr>
          <w:rFonts w:hint="eastAsia" w:ascii="仿宋" w:hAnsi="仿宋" w:eastAsia="仿宋" w:cs="仿宋"/>
          <w:sz w:val="32"/>
          <w:szCs w:val="32"/>
          <w:lang w:val="en-US" w:eastAsia="zh-CN"/>
        </w:rPr>
        <w:t>县职业技术教育</w:t>
      </w:r>
      <w:r>
        <w:rPr>
          <w:rFonts w:hint="eastAsia" w:ascii="仿宋" w:hAnsi="仿宋" w:eastAsia="仿宋" w:cs="仿宋"/>
          <w:sz w:val="32"/>
          <w:szCs w:val="32"/>
        </w:rPr>
        <w:t>中心</w:t>
      </w:r>
      <w:r>
        <w:rPr>
          <w:rFonts w:hint="eastAsia" w:ascii="仿宋" w:hAnsi="仿宋" w:eastAsia="仿宋" w:cs="仿宋"/>
          <w:sz w:val="32"/>
          <w:szCs w:val="32"/>
          <w:lang w:val="en-US" w:eastAsia="zh-CN"/>
        </w:rPr>
        <w:t>是</w:t>
      </w:r>
      <w:r>
        <w:rPr>
          <w:rFonts w:hint="eastAsia" w:ascii="仿宋" w:hAnsi="仿宋" w:eastAsia="仿宋" w:cs="仿宋"/>
          <w:sz w:val="32"/>
          <w:szCs w:val="32"/>
        </w:rPr>
        <w:t>一所集职业中专、国家开放大学、新型职业农民培养、职业技能鉴定、社会短期培训为一体的</w:t>
      </w:r>
      <w:r>
        <w:rPr>
          <w:rFonts w:hint="eastAsia" w:ascii="仿宋" w:hAnsi="仿宋" w:eastAsia="仿宋" w:cs="仿宋"/>
          <w:sz w:val="32"/>
          <w:szCs w:val="32"/>
          <w:lang w:val="en-US" w:eastAsia="zh-CN"/>
        </w:rPr>
        <w:t>公办</w:t>
      </w:r>
      <w:r>
        <w:rPr>
          <w:rFonts w:hint="eastAsia" w:ascii="仿宋" w:hAnsi="仿宋" w:eastAsia="仿宋" w:cs="仿宋"/>
          <w:sz w:val="32"/>
          <w:szCs w:val="32"/>
        </w:rPr>
        <w:t>综合性国家级重点中等职业学校</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张家口市职业教育示范学校、</w:t>
      </w:r>
      <w:r>
        <w:rPr>
          <w:rFonts w:hint="eastAsia" w:ascii="仿宋" w:hAnsi="仿宋" w:eastAsia="仿宋" w:cs="仿宋"/>
          <w:sz w:val="32"/>
          <w:szCs w:val="32"/>
        </w:rPr>
        <w:t>河北省中等职业教育质量提升工程</w:t>
      </w:r>
      <w:r>
        <w:rPr>
          <w:rFonts w:hint="eastAsia" w:ascii="仿宋" w:hAnsi="仿宋" w:eastAsia="仿宋" w:cs="仿宋"/>
          <w:sz w:val="32"/>
          <w:szCs w:val="32"/>
          <w:lang w:val="en-US" w:eastAsia="zh-CN"/>
        </w:rPr>
        <w:t>名牌校，河北省体育传统特色学校（田径）</w:t>
      </w:r>
      <w:r>
        <w:rPr>
          <w:rFonts w:hint="eastAsia" w:ascii="仿宋" w:hAnsi="仿宋" w:eastAsia="仿宋" w:cs="仿宋"/>
          <w:sz w:val="32"/>
          <w:szCs w:val="32"/>
        </w:rPr>
        <w:t>。学校全日制学历教育</w:t>
      </w:r>
      <w:r>
        <w:rPr>
          <w:rFonts w:hint="eastAsia" w:ascii="仿宋" w:hAnsi="仿宋" w:eastAsia="仿宋" w:cs="仿宋"/>
          <w:sz w:val="32"/>
          <w:szCs w:val="32"/>
          <w:lang w:val="en-US" w:eastAsia="zh-CN"/>
        </w:rPr>
        <w:t>中职</w:t>
      </w:r>
      <w:r>
        <w:rPr>
          <w:rFonts w:hint="eastAsia" w:ascii="仿宋" w:hAnsi="仿宋" w:eastAsia="仿宋" w:cs="仿宋"/>
          <w:sz w:val="32"/>
          <w:szCs w:val="32"/>
        </w:rPr>
        <w:t>在校生</w:t>
      </w:r>
      <w:r>
        <w:rPr>
          <w:rFonts w:hint="default" w:ascii="仿宋" w:hAnsi="仿宋" w:eastAsia="仿宋" w:cs="仿宋"/>
          <w:sz w:val="32"/>
          <w:szCs w:val="32"/>
          <w:lang w:val="en-US"/>
        </w:rPr>
        <w:t>2</w:t>
      </w:r>
      <w:r>
        <w:rPr>
          <w:rFonts w:hint="eastAsia" w:ascii="仿宋" w:hAnsi="仿宋" w:eastAsia="仿宋" w:cs="仿宋"/>
          <w:sz w:val="32"/>
          <w:szCs w:val="32"/>
          <w:lang w:val="en-US" w:eastAsia="zh-CN"/>
        </w:rPr>
        <w:t>768</w:t>
      </w:r>
      <w:r>
        <w:rPr>
          <w:rFonts w:hint="eastAsia" w:ascii="仿宋" w:hAnsi="仿宋" w:eastAsia="仿宋" w:cs="仿宋"/>
          <w:sz w:val="32"/>
          <w:szCs w:val="32"/>
        </w:rPr>
        <w:t>人</w:t>
      </w:r>
      <w:r>
        <w:rPr>
          <w:rFonts w:hint="eastAsia" w:ascii="仿宋" w:hAnsi="仿宋" w:eastAsia="仿宋" w:cs="仿宋"/>
          <w:sz w:val="32"/>
          <w:szCs w:val="32"/>
          <w:lang w:val="en-US" w:eastAsia="zh-CN"/>
        </w:rPr>
        <w:t>,其中</w:t>
      </w:r>
      <w:r>
        <w:rPr>
          <w:rFonts w:hint="default" w:ascii="仿宋" w:hAnsi="仿宋" w:eastAsia="仿宋" w:cs="仿宋"/>
          <w:sz w:val="32"/>
          <w:szCs w:val="32"/>
          <w:lang w:val="en-US" w:eastAsia="zh-CN"/>
        </w:rPr>
        <w:t>2024</w:t>
      </w:r>
      <w:r>
        <w:rPr>
          <w:rFonts w:hint="eastAsia" w:ascii="仿宋" w:hAnsi="仿宋" w:eastAsia="仿宋" w:cs="仿宋"/>
          <w:sz w:val="32"/>
          <w:szCs w:val="32"/>
          <w:lang w:val="en-US" w:eastAsia="zh-CN"/>
        </w:rPr>
        <w:t>年招收新生</w:t>
      </w:r>
      <w:r>
        <w:rPr>
          <w:rFonts w:hint="default" w:ascii="仿宋" w:hAnsi="仿宋" w:eastAsia="仿宋" w:cs="仿宋"/>
          <w:sz w:val="32"/>
          <w:szCs w:val="32"/>
          <w:lang w:val="en-US" w:eastAsia="zh-CN"/>
        </w:rPr>
        <w:t>484</w:t>
      </w:r>
      <w:r>
        <w:rPr>
          <w:rFonts w:hint="eastAsia" w:ascii="仿宋" w:hAnsi="仿宋" w:eastAsia="仿宋" w:cs="仿宋"/>
          <w:sz w:val="32"/>
          <w:szCs w:val="32"/>
          <w:lang w:val="en-US" w:eastAsia="zh-CN"/>
        </w:rPr>
        <w:t>人</w:t>
      </w:r>
      <w:r>
        <w:rPr>
          <w:rFonts w:hint="eastAsia" w:ascii="仿宋" w:hAnsi="仿宋" w:eastAsia="仿宋" w:cs="仿宋"/>
          <w:sz w:val="32"/>
          <w:szCs w:val="32"/>
        </w:rPr>
        <w:t>。学校开设农业</w:t>
      </w:r>
      <w:r>
        <w:rPr>
          <w:rFonts w:hint="eastAsia" w:ascii="仿宋" w:hAnsi="仿宋" w:eastAsia="仿宋" w:cs="仿宋"/>
          <w:sz w:val="32"/>
          <w:szCs w:val="32"/>
          <w:lang w:val="en-US" w:eastAsia="zh-CN"/>
        </w:rPr>
        <w:t>设备应用</w:t>
      </w:r>
      <w:r>
        <w:rPr>
          <w:rFonts w:hint="eastAsia" w:ascii="仿宋" w:hAnsi="仿宋" w:eastAsia="仿宋" w:cs="仿宋"/>
          <w:sz w:val="32"/>
          <w:szCs w:val="32"/>
        </w:rPr>
        <w:t>与维</w:t>
      </w:r>
      <w:r>
        <w:rPr>
          <w:rFonts w:hint="eastAsia" w:ascii="仿宋" w:hAnsi="仿宋" w:eastAsia="仿宋" w:cs="仿宋"/>
          <w:sz w:val="32"/>
          <w:szCs w:val="32"/>
          <w:lang w:val="en-US" w:eastAsia="zh-CN"/>
        </w:rPr>
        <w:t>修</w:t>
      </w:r>
      <w:r>
        <w:rPr>
          <w:rFonts w:hint="eastAsia" w:ascii="仿宋" w:hAnsi="仿宋" w:eastAsia="仿宋" w:cs="仿宋"/>
          <w:sz w:val="32"/>
          <w:szCs w:val="32"/>
        </w:rPr>
        <w:t>、计算机</w:t>
      </w:r>
      <w:r>
        <w:rPr>
          <w:rFonts w:hint="eastAsia" w:ascii="仿宋" w:hAnsi="仿宋" w:eastAsia="仿宋" w:cs="仿宋"/>
          <w:sz w:val="32"/>
          <w:szCs w:val="32"/>
          <w:lang w:val="en-US" w:eastAsia="zh-CN"/>
        </w:rPr>
        <w:t>应用</w:t>
      </w:r>
      <w:r>
        <w:rPr>
          <w:rFonts w:hint="eastAsia" w:ascii="仿宋" w:hAnsi="仿宋" w:eastAsia="仿宋" w:cs="仿宋"/>
          <w:sz w:val="32"/>
          <w:szCs w:val="32"/>
        </w:rPr>
        <w:t>、航空服务、</w:t>
      </w:r>
      <w:r>
        <w:rPr>
          <w:rFonts w:hint="eastAsia" w:ascii="仿宋" w:hAnsi="仿宋" w:eastAsia="仿宋" w:cs="仿宋"/>
          <w:sz w:val="32"/>
          <w:szCs w:val="32"/>
          <w:lang w:val="en-US" w:eastAsia="zh-CN"/>
        </w:rPr>
        <w:t>作物生产技术</w:t>
      </w:r>
      <w:r>
        <w:rPr>
          <w:rFonts w:hint="eastAsia" w:ascii="仿宋" w:hAnsi="仿宋" w:eastAsia="仿宋" w:cs="仿宋"/>
          <w:sz w:val="32"/>
          <w:szCs w:val="32"/>
        </w:rPr>
        <w:t>、</w:t>
      </w:r>
      <w:r>
        <w:rPr>
          <w:rFonts w:hint="eastAsia" w:ascii="仿宋" w:hAnsi="仿宋" w:eastAsia="仿宋" w:cs="仿宋"/>
          <w:sz w:val="32"/>
          <w:szCs w:val="32"/>
          <w:lang w:val="en-US" w:eastAsia="zh-CN"/>
        </w:rPr>
        <w:t>林业生产技术、</w:t>
      </w:r>
    </w:p>
    <w:p>
      <w:pPr>
        <w:pStyle w:val="10"/>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00" w:firstLineChars="200"/>
        <w:jc w:val="center"/>
        <w:textAlignment w:val="auto"/>
        <w:outlineLvl w:val="9"/>
        <w:rPr>
          <w:rFonts w:hint="eastAsia" w:ascii="仿宋" w:hAnsi="仿宋" w:eastAsia="仿宋" w:cs="仿宋"/>
          <w:sz w:val="32"/>
          <w:szCs w:val="32"/>
          <w:lang w:val="en-US" w:eastAsia="zh-CN"/>
        </w:rPr>
      </w:pPr>
      <w:r>
        <w:t xml:space="preserve">表 </w:t>
      </w:r>
      <w:r>
        <w:fldChar w:fldCharType="begin"/>
      </w:r>
      <w:r>
        <w:instrText xml:space="preserve"> SEQ 表 \* ARABIC </w:instrText>
      </w:r>
      <w:r>
        <w:fldChar w:fldCharType="separate"/>
      </w:r>
      <w:r>
        <w:t>1</w:t>
      </w:r>
      <w:r>
        <w:fldChar w:fldCharType="end"/>
      </w:r>
      <w:bookmarkStart w:id="6" w:name="_Toc14906"/>
      <w:r>
        <w:t xml:space="preserve"> 专业构成</w:t>
      </w:r>
      <w:bookmarkEnd w:id="6"/>
    </w:p>
    <w:p>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幼儿保育、</w:t>
      </w:r>
      <w:r>
        <w:rPr>
          <w:rFonts w:hint="eastAsia" w:ascii="仿宋" w:hAnsi="仿宋" w:eastAsia="仿宋" w:cs="仿宋"/>
          <w:sz w:val="32"/>
          <w:szCs w:val="32"/>
          <w:lang w:val="en-US" w:eastAsia="zh-CN"/>
        </w:rPr>
        <w:t>会计事务</w:t>
      </w:r>
      <w:r>
        <w:rPr>
          <w:rFonts w:hint="eastAsia" w:ascii="仿宋" w:hAnsi="仿宋" w:eastAsia="仿宋" w:cs="仿宋"/>
          <w:sz w:val="32"/>
          <w:szCs w:val="32"/>
        </w:rPr>
        <w:t>、汽车运用与维</w:t>
      </w:r>
      <w:r>
        <w:rPr>
          <w:rFonts w:hint="eastAsia" w:ascii="仿宋" w:hAnsi="仿宋" w:eastAsia="仿宋" w:cs="仿宋"/>
          <w:sz w:val="32"/>
          <w:szCs w:val="32"/>
          <w:lang w:val="en-US" w:eastAsia="zh-CN"/>
        </w:rPr>
        <w:t>修</w:t>
      </w:r>
      <w:r>
        <w:rPr>
          <w:rFonts w:hint="eastAsia" w:ascii="仿宋" w:hAnsi="仿宋" w:eastAsia="仿宋" w:cs="仿宋"/>
          <w:sz w:val="32"/>
          <w:szCs w:val="32"/>
        </w:rPr>
        <w:t>、社会文化艺术、大数据</w:t>
      </w:r>
      <w:r>
        <w:rPr>
          <w:rFonts w:hint="eastAsia" w:ascii="仿宋" w:hAnsi="仿宋" w:eastAsia="仿宋" w:cs="仿宋"/>
          <w:sz w:val="32"/>
          <w:szCs w:val="32"/>
          <w:lang w:val="en-US" w:eastAsia="zh-CN"/>
        </w:rPr>
        <w:t>技术应用</w:t>
      </w:r>
      <w:r>
        <w:rPr>
          <w:rFonts w:hint="eastAsia" w:ascii="仿宋" w:hAnsi="仿宋" w:eastAsia="仿宋" w:cs="仿宋"/>
          <w:sz w:val="32"/>
          <w:szCs w:val="32"/>
        </w:rPr>
        <w:t>、</w:t>
      </w:r>
      <w:r>
        <w:rPr>
          <w:rFonts w:hint="eastAsia" w:ascii="仿宋" w:hAnsi="仿宋" w:eastAsia="仿宋" w:cs="仿宋"/>
          <w:sz w:val="32"/>
          <w:szCs w:val="32"/>
          <w:lang w:val="en-US" w:eastAsia="zh-CN"/>
        </w:rPr>
        <w:t>电子技术应用（技工学校专业）、护理（技工学校专业）</w:t>
      </w:r>
      <w:r>
        <w:rPr>
          <w:rFonts w:hint="eastAsia" w:ascii="仿宋" w:hAnsi="仿宋" w:eastAsia="仿宋" w:cs="仿宋"/>
          <w:sz w:val="32"/>
          <w:szCs w:val="32"/>
        </w:rPr>
        <w:t>等1</w:t>
      </w:r>
      <w:r>
        <w:rPr>
          <w:rFonts w:hint="default" w:ascii="仿宋" w:hAnsi="仿宋" w:eastAsia="仿宋" w:cs="仿宋"/>
          <w:sz w:val="32"/>
          <w:szCs w:val="32"/>
          <w:lang w:val="en-US"/>
        </w:rPr>
        <w:t>2</w:t>
      </w:r>
      <w:r>
        <w:rPr>
          <w:rFonts w:hint="eastAsia" w:ascii="仿宋" w:hAnsi="仿宋" w:eastAsia="仿宋" w:cs="仿宋"/>
          <w:sz w:val="32"/>
          <w:szCs w:val="32"/>
        </w:rPr>
        <w:t>个专业。</w:t>
      </w:r>
    </w:p>
    <w:p>
      <w:pPr>
        <w:pStyle w:val="2"/>
        <w:ind w:left="0" w:leftChars="0" w:firstLine="640" w:firstLineChars="200"/>
        <w:rPr>
          <w:rFonts w:hint="eastAsia" w:ascii="仿宋" w:hAnsi="仿宋" w:eastAsia="仿宋" w:cs="仿宋"/>
          <w:sz w:val="32"/>
          <w:szCs w:val="32"/>
        </w:rPr>
      </w:pPr>
      <w:r>
        <w:rPr>
          <w:rFonts w:hint="eastAsia" w:ascii="仿宋" w:hAnsi="仿宋" w:eastAsia="仿宋" w:cs="仿宋"/>
          <w:sz w:val="32"/>
          <w:szCs w:val="32"/>
        </w:rPr>
        <w:t>学校产权占地面积15</w:t>
      </w:r>
      <w:r>
        <w:rPr>
          <w:rFonts w:hint="default" w:ascii="仿宋" w:hAnsi="仿宋" w:eastAsia="仿宋" w:cs="仿宋"/>
          <w:sz w:val="32"/>
          <w:szCs w:val="32"/>
          <w:lang w:val="en-US"/>
        </w:rPr>
        <w:t>.</w:t>
      </w:r>
      <w:r>
        <w:rPr>
          <w:rFonts w:hint="eastAsia" w:ascii="仿宋" w:hAnsi="仿宋" w:eastAsia="仿宋" w:cs="仿宋"/>
          <w:sz w:val="32"/>
          <w:szCs w:val="32"/>
        </w:rPr>
        <w:t>479373万平方米,校舍总建筑面积7</w:t>
      </w:r>
      <w:r>
        <w:rPr>
          <w:rFonts w:hint="default" w:ascii="仿宋" w:hAnsi="仿宋" w:eastAsia="仿宋" w:cs="仿宋"/>
          <w:sz w:val="32"/>
          <w:szCs w:val="32"/>
          <w:lang w:val="en-US"/>
        </w:rPr>
        <w:t>.</w:t>
      </w:r>
      <w:r>
        <w:rPr>
          <w:rFonts w:hint="eastAsia" w:ascii="仿宋" w:hAnsi="仿宋" w:eastAsia="仿宋" w:cs="仿宋"/>
          <w:sz w:val="32"/>
          <w:szCs w:val="32"/>
        </w:rPr>
        <w:t>26797万平方米</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绿化用地面积3.3万平方米</w:t>
      </w:r>
      <w:r>
        <w:rPr>
          <w:rFonts w:hint="eastAsia" w:ascii="仿宋" w:hAnsi="仿宋" w:eastAsia="仿宋" w:cs="仿宋"/>
          <w:sz w:val="32"/>
          <w:szCs w:val="32"/>
        </w:rPr>
        <w:t>。校址</w:t>
      </w:r>
      <w:r>
        <w:rPr>
          <w:rFonts w:hint="eastAsia" w:ascii="仿宋" w:hAnsi="仿宋" w:eastAsia="仿宋" w:cs="仿宋"/>
          <w:sz w:val="32"/>
          <w:szCs w:val="32"/>
          <w:lang w:val="en-US" w:eastAsia="zh-CN"/>
        </w:rPr>
        <w:t>位于涿鹿县轩辕西路35号。</w:t>
      </w:r>
      <w:r>
        <w:rPr>
          <w:rFonts w:hint="eastAsia" w:ascii="仿宋_GB2312" w:hAnsi="仿宋_GB2312" w:eastAsia="仿宋_GB2312" w:cs="仿宋_GB2312"/>
          <w:sz w:val="32"/>
          <w:szCs w:val="32"/>
        </w:rPr>
        <w:t>轩辕路校区划为老年培训处和电商实训基地，已正常运营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大堡学区规划为农业实训基地，项目正在筹备。</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left"/>
        <w:textAlignment w:val="auto"/>
        <w:outlineLvl w:val="1"/>
        <w:rPr>
          <w:rFonts w:hint="eastAsia" w:ascii="楷体" w:hAnsi="楷体" w:eastAsia="楷体" w:cs="楷体"/>
          <w:b w:val="0"/>
          <w:bCs/>
          <w:kern w:val="2"/>
          <w:sz w:val="32"/>
          <w:szCs w:val="22"/>
          <w:lang w:val="en-US" w:eastAsia="zh-CN" w:bidi="ar-SA"/>
        </w:rPr>
      </w:pPr>
      <w:bookmarkStart w:id="7" w:name="_Toc25897"/>
      <w:bookmarkStart w:id="8" w:name="_Toc6607"/>
      <w:r>
        <w:rPr>
          <w:rFonts w:hint="eastAsia" w:ascii="楷体" w:hAnsi="楷体" w:eastAsia="楷体" w:cs="楷体"/>
          <w:b w:val="0"/>
          <w:bCs/>
          <w:kern w:val="2"/>
          <w:sz w:val="32"/>
          <w:szCs w:val="22"/>
          <w:lang w:val="en-US" w:eastAsia="zh-CN" w:bidi="ar-SA"/>
        </w:rPr>
        <w:t>（二）学生情况</w:t>
      </w:r>
      <w:bookmarkEnd w:id="7"/>
      <w:bookmarkEnd w:id="8"/>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color w:val="000000"/>
          <w:kern w:val="2"/>
          <w:sz w:val="32"/>
          <w:szCs w:val="32"/>
          <w:lang w:val="en-US" w:eastAsia="zh-CN"/>
        </w:rPr>
      </w:pPr>
      <w:r>
        <w:rPr>
          <w:rFonts w:hint="eastAsia" w:ascii="仿宋" w:hAnsi="仿宋" w:eastAsia="仿宋" w:cs="仿宋"/>
          <w:sz w:val="32"/>
          <w:szCs w:val="32"/>
        </w:rPr>
        <w:t xml:space="preserve"> </w:t>
      </w:r>
      <w:r>
        <w:rPr>
          <w:rFonts w:hint="eastAsia" w:ascii="仿宋" w:hAnsi="仿宋" w:eastAsia="仿宋" w:cs="仿宋"/>
          <w:color w:val="000000"/>
          <w:kern w:val="2"/>
          <w:sz w:val="32"/>
          <w:szCs w:val="32"/>
        </w:rPr>
        <w:t>202</w:t>
      </w:r>
      <w:r>
        <w:rPr>
          <w:rFonts w:hint="eastAsia" w:ascii="仿宋" w:hAnsi="仿宋" w:eastAsia="仿宋" w:cs="仿宋"/>
          <w:color w:val="000000"/>
          <w:kern w:val="2"/>
          <w:sz w:val="32"/>
          <w:szCs w:val="32"/>
          <w:lang w:val="en-US" w:eastAsia="zh-CN"/>
        </w:rPr>
        <w:t>4</w:t>
      </w:r>
      <w:r>
        <w:rPr>
          <w:rFonts w:hint="eastAsia" w:ascii="仿宋" w:hAnsi="仿宋" w:eastAsia="仿宋" w:cs="仿宋"/>
          <w:color w:val="000000"/>
          <w:kern w:val="2"/>
          <w:sz w:val="32"/>
          <w:szCs w:val="32"/>
        </w:rPr>
        <w:t>年在校生</w:t>
      </w:r>
      <w:r>
        <w:rPr>
          <w:rFonts w:hint="default" w:ascii="仿宋" w:hAnsi="仿宋" w:eastAsia="仿宋" w:cs="仿宋"/>
          <w:color w:val="000000"/>
          <w:kern w:val="2"/>
          <w:sz w:val="32"/>
          <w:szCs w:val="32"/>
          <w:lang w:val="en-US" w:eastAsia="zh-CN"/>
        </w:rPr>
        <w:t>2</w:t>
      </w:r>
      <w:r>
        <w:rPr>
          <w:rFonts w:hint="eastAsia" w:ascii="仿宋" w:hAnsi="仿宋" w:eastAsia="仿宋" w:cs="仿宋"/>
          <w:color w:val="000000"/>
          <w:kern w:val="2"/>
          <w:sz w:val="32"/>
          <w:szCs w:val="32"/>
          <w:lang w:val="en-US" w:eastAsia="zh-CN"/>
        </w:rPr>
        <w:t>768人，较</w:t>
      </w:r>
      <w:r>
        <w:rPr>
          <w:rFonts w:hint="default" w:ascii="仿宋" w:hAnsi="仿宋" w:eastAsia="仿宋" w:cs="仿宋"/>
          <w:color w:val="000000"/>
          <w:kern w:val="2"/>
          <w:sz w:val="32"/>
          <w:szCs w:val="32"/>
          <w:lang w:val="en-US" w:eastAsia="zh-CN"/>
        </w:rPr>
        <w:t>202</w:t>
      </w:r>
      <w:r>
        <w:rPr>
          <w:rFonts w:hint="eastAsia" w:ascii="仿宋" w:hAnsi="仿宋" w:eastAsia="仿宋" w:cs="仿宋"/>
          <w:color w:val="000000"/>
          <w:kern w:val="2"/>
          <w:sz w:val="32"/>
          <w:szCs w:val="32"/>
          <w:lang w:val="en-US" w:eastAsia="zh-CN"/>
        </w:rPr>
        <w:t>3年</w:t>
      </w:r>
      <w:r>
        <w:rPr>
          <w:rFonts w:hint="default" w:ascii="仿宋" w:hAnsi="仿宋" w:eastAsia="仿宋" w:cs="仿宋"/>
          <w:color w:val="000000"/>
          <w:kern w:val="2"/>
          <w:sz w:val="32"/>
          <w:szCs w:val="32"/>
          <w:lang w:val="en-US" w:eastAsia="zh-CN"/>
        </w:rPr>
        <w:t>20</w:t>
      </w:r>
      <w:r>
        <w:rPr>
          <w:rFonts w:hint="eastAsia" w:ascii="仿宋" w:hAnsi="仿宋" w:eastAsia="仿宋" w:cs="仿宋"/>
          <w:color w:val="000000"/>
          <w:kern w:val="2"/>
          <w:sz w:val="32"/>
          <w:szCs w:val="32"/>
          <w:lang w:val="en-US" w:eastAsia="zh-CN"/>
        </w:rPr>
        <w:t>64人增加704人；</w:t>
      </w:r>
      <w:r>
        <w:rPr>
          <w:rFonts w:hint="default" w:ascii="仿宋" w:hAnsi="仿宋" w:eastAsia="仿宋" w:cs="仿宋"/>
          <w:color w:val="000000"/>
          <w:kern w:val="2"/>
          <w:sz w:val="32"/>
          <w:szCs w:val="32"/>
          <w:lang w:val="en-US" w:eastAsia="zh-CN"/>
        </w:rPr>
        <w:t>202</w:t>
      </w:r>
      <w:r>
        <w:rPr>
          <w:rFonts w:hint="eastAsia" w:ascii="仿宋" w:hAnsi="仿宋" w:eastAsia="仿宋" w:cs="仿宋"/>
          <w:color w:val="000000"/>
          <w:kern w:val="2"/>
          <w:sz w:val="32"/>
          <w:szCs w:val="32"/>
          <w:lang w:val="en-US" w:eastAsia="zh-CN"/>
        </w:rPr>
        <w:t>4年毕业生总人数</w:t>
      </w:r>
      <w:r>
        <w:rPr>
          <w:rFonts w:hint="default" w:ascii="仿宋" w:hAnsi="仿宋" w:eastAsia="仿宋" w:cs="仿宋"/>
          <w:color w:val="000000"/>
          <w:kern w:val="2"/>
          <w:sz w:val="32"/>
          <w:szCs w:val="32"/>
          <w:lang w:val="en-US" w:eastAsia="zh-CN"/>
        </w:rPr>
        <w:t>7</w:t>
      </w:r>
      <w:r>
        <w:rPr>
          <w:rFonts w:hint="eastAsia" w:ascii="仿宋" w:hAnsi="仿宋" w:eastAsia="仿宋" w:cs="仿宋"/>
          <w:color w:val="000000"/>
          <w:kern w:val="2"/>
          <w:sz w:val="32"/>
          <w:szCs w:val="32"/>
          <w:lang w:val="en-US" w:eastAsia="zh-CN"/>
        </w:rPr>
        <w:t>02人。</w:t>
      </w:r>
      <w:r>
        <w:rPr>
          <w:rFonts w:hint="default" w:ascii="仿宋" w:hAnsi="仿宋" w:eastAsia="仿宋" w:cs="仿宋"/>
          <w:sz w:val="32"/>
          <w:szCs w:val="32"/>
          <w:lang w:val="en-US" w:eastAsia="zh-CN"/>
        </w:rPr>
        <w:t>2024</w:t>
      </w:r>
      <w:r>
        <w:rPr>
          <w:rFonts w:hint="eastAsia" w:ascii="仿宋" w:hAnsi="仿宋" w:eastAsia="仿宋" w:cs="仿宋"/>
          <w:sz w:val="32"/>
          <w:szCs w:val="32"/>
          <w:lang w:val="en-US" w:eastAsia="zh-CN"/>
        </w:rPr>
        <w:t>年航空服务在校生</w:t>
      </w:r>
      <w:r>
        <w:rPr>
          <w:rFonts w:hint="default" w:ascii="仿宋" w:hAnsi="仿宋" w:eastAsia="仿宋" w:cs="仿宋"/>
          <w:sz w:val="32"/>
          <w:szCs w:val="32"/>
          <w:lang w:val="en-US" w:eastAsia="zh-CN"/>
        </w:rPr>
        <w:t>405</w:t>
      </w:r>
      <w:r>
        <w:rPr>
          <w:rFonts w:hint="eastAsia" w:ascii="仿宋" w:hAnsi="仿宋" w:eastAsia="仿宋" w:cs="仿宋"/>
          <w:sz w:val="32"/>
          <w:szCs w:val="32"/>
          <w:lang w:val="en-US" w:eastAsia="zh-CN"/>
        </w:rPr>
        <w:t>人</w:t>
      </w:r>
      <w:r>
        <w:rPr>
          <w:rFonts w:hint="eastAsia" w:ascii="仿宋" w:hAnsi="仿宋" w:eastAsia="仿宋" w:cs="仿宋"/>
          <w:color w:val="000000"/>
          <w:kern w:val="2"/>
          <w:sz w:val="32"/>
          <w:szCs w:val="32"/>
          <w:lang w:val="en-US" w:eastAsia="zh-CN"/>
        </w:rPr>
        <w:t>，毕业生</w:t>
      </w:r>
      <w:r>
        <w:rPr>
          <w:rFonts w:hint="default" w:ascii="仿宋" w:hAnsi="仿宋" w:eastAsia="仿宋" w:cs="仿宋"/>
          <w:color w:val="000000"/>
          <w:kern w:val="2"/>
          <w:sz w:val="32"/>
          <w:szCs w:val="32"/>
          <w:lang w:val="en-US" w:eastAsia="zh-CN"/>
        </w:rPr>
        <w:t>103</w:t>
      </w:r>
      <w:r>
        <w:rPr>
          <w:rFonts w:hint="eastAsia" w:ascii="仿宋" w:hAnsi="仿宋" w:eastAsia="仿宋" w:cs="仿宋"/>
          <w:color w:val="000000"/>
          <w:kern w:val="2"/>
          <w:sz w:val="32"/>
          <w:szCs w:val="32"/>
          <w:lang w:val="en-US" w:eastAsia="zh-CN"/>
        </w:rPr>
        <w:t>人；会计事务在校生</w:t>
      </w:r>
      <w:r>
        <w:rPr>
          <w:rFonts w:hint="default" w:ascii="仿宋" w:hAnsi="仿宋" w:eastAsia="仿宋" w:cs="仿宋"/>
          <w:color w:val="000000"/>
          <w:kern w:val="2"/>
          <w:sz w:val="32"/>
          <w:szCs w:val="32"/>
          <w:lang w:val="en-US" w:eastAsia="zh-CN"/>
        </w:rPr>
        <w:t>308</w:t>
      </w:r>
      <w:r>
        <w:rPr>
          <w:rFonts w:hint="eastAsia" w:ascii="仿宋" w:hAnsi="仿宋" w:eastAsia="仿宋" w:cs="仿宋"/>
          <w:color w:val="000000"/>
          <w:kern w:val="2"/>
          <w:sz w:val="32"/>
          <w:szCs w:val="32"/>
          <w:lang w:val="en-US" w:eastAsia="zh-CN"/>
        </w:rPr>
        <w:t>人，毕业生</w:t>
      </w:r>
      <w:r>
        <w:rPr>
          <w:rFonts w:hint="default" w:ascii="仿宋" w:hAnsi="仿宋" w:eastAsia="仿宋" w:cs="仿宋"/>
          <w:color w:val="000000"/>
          <w:kern w:val="2"/>
          <w:sz w:val="32"/>
          <w:szCs w:val="32"/>
          <w:lang w:val="en-US" w:eastAsia="zh-CN"/>
        </w:rPr>
        <w:t>139</w:t>
      </w:r>
      <w:r>
        <w:rPr>
          <w:rFonts w:hint="eastAsia" w:ascii="仿宋" w:hAnsi="仿宋" w:eastAsia="仿宋" w:cs="仿宋"/>
          <w:color w:val="000000"/>
          <w:kern w:val="2"/>
          <w:sz w:val="32"/>
          <w:szCs w:val="32"/>
          <w:lang w:val="en-US" w:eastAsia="zh-CN"/>
        </w:rPr>
        <w:t>人；计算机应用在校生</w:t>
      </w:r>
      <w:r>
        <w:rPr>
          <w:rFonts w:hint="default" w:ascii="仿宋" w:hAnsi="仿宋" w:eastAsia="仿宋" w:cs="仿宋"/>
          <w:color w:val="000000"/>
          <w:kern w:val="2"/>
          <w:sz w:val="32"/>
          <w:szCs w:val="32"/>
          <w:lang w:val="en-US" w:eastAsia="zh-CN"/>
        </w:rPr>
        <w:t>577</w:t>
      </w:r>
      <w:r>
        <w:rPr>
          <w:rFonts w:hint="eastAsia" w:ascii="仿宋" w:hAnsi="仿宋" w:eastAsia="仿宋" w:cs="仿宋"/>
          <w:color w:val="000000"/>
          <w:kern w:val="2"/>
          <w:sz w:val="32"/>
          <w:szCs w:val="32"/>
          <w:lang w:val="en-US" w:eastAsia="zh-CN"/>
        </w:rPr>
        <w:t>人，毕业生</w:t>
      </w:r>
      <w:r>
        <w:rPr>
          <w:rFonts w:hint="default" w:ascii="仿宋" w:hAnsi="仿宋" w:eastAsia="仿宋" w:cs="仿宋"/>
          <w:color w:val="000000"/>
          <w:kern w:val="2"/>
          <w:sz w:val="32"/>
          <w:szCs w:val="32"/>
          <w:lang w:val="en-US" w:eastAsia="zh-CN"/>
        </w:rPr>
        <w:t>213</w:t>
      </w:r>
      <w:r>
        <w:rPr>
          <w:rFonts w:hint="eastAsia" w:ascii="仿宋" w:hAnsi="仿宋" w:eastAsia="仿宋" w:cs="仿宋"/>
          <w:color w:val="000000"/>
          <w:kern w:val="2"/>
          <w:sz w:val="32"/>
          <w:szCs w:val="32"/>
          <w:lang w:val="en-US" w:eastAsia="zh-CN"/>
        </w:rPr>
        <w:t>人；农机设备应用与维修在校生</w:t>
      </w:r>
      <w:r>
        <w:rPr>
          <w:rFonts w:hint="default" w:ascii="仿宋" w:hAnsi="仿宋" w:eastAsia="仿宋" w:cs="仿宋"/>
          <w:color w:val="000000"/>
          <w:kern w:val="2"/>
          <w:sz w:val="32"/>
          <w:szCs w:val="32"/>
          <w:lang w:val="en-US" w:eastAsia="zh-CN"/>
        </w:rPr>
        <w:t>289</w:t>
      </w:r>
      <w:r>
        <w:rPr>
          <w:rFonts w:hint="eastAsia" w:ascii="仿宋" w:hAnsi="仿宋" w:eastAsia="仿宋" w:cs="仿宋"/>
          <w:color w:val="000000"/>
          <w:kern w:val="2"/>
          <w:sz w:val="32"/>
          <w:szCs w:val="32"/>
          <w:lang w:val="en-US" w:eastAsia="zh-CN"/>
        </w:rPr>
        <w:t>人，毕业生</w:t>
      </w:r>
      <w:r>
        <w:rPr>
          <w:rFonts w:hint="default" w:ascii="仿宋" w:hAnsi="仿宋" w:eastAsia="仿宋" w:cs="仿宋"/>
          <w:color w:val="000000"/>
          <w:kern w:val="2"/>
          <w:sz w:val="32"/>
          <w:szCs w:val="32"/>
          <w:lang w:val="en-US" w:eastAsia="zh-CN"/>
        </w:rPr>
        <w:t>103</w:t>
      </w:r>
      <w:r>
        <w:rPr>
          <w:rFonts w:hint="eastAsia" w:ascii="仿宋" w:hAnsi="仿宋" w:eastAsia="仿宋" w:cs="仿宋"/>
          <w:color w:val="000000"/>
          <w:kern w:val="2"/>
          <w:sz w:val="32"/>
          <w:szCs w:val="32"/>
          <w:lang w:val="en-US" w:eastAsia="zh-CN"/>
        </w:rPr>
        <w:t>人；汽车运用与维修在校生</w:t>
      </w:r>
      <w:r>
        <w:rPr>
          <w:rFonts w:hint="default" w:ascii="仿宋" w:hAnsi="仿宋" w:eastAsia="仿宋" w:cs="仿宋"/>
          <w:color w:val="000000"/>
          <w:kern w:val="2"/>
          <w:sz w:val="32"/>
          <w:szCs w:val="32"/>
          <w:lang w:val="en-US" w:eastAsia="zh-CN"/>
        </w:rPr>
        <w:t>239</w:t>
      </w:r>
      <w:r>
        <w:rPr>
          <w:rFonts w:hint="eastAsia" w:ascii="仿宋" w:hAnsi="仿宋" w:eastAsia="仿宋" w:cs="仿宋"/>
          <w:color w:val="000000"/>
          <w:kern w:val="2"/>
          <w:sz w:val="32"/>
          <w:szCs w:val="32"/>
          <w:lang w:val="en-US" w:eastAsia="zh-CN"/>
        </w:rPr>
        <w:t>人，毕业生</w:t>
      </w:r>
      <w:r>
        <w:rPr>
          <w:rFonts w:hint="default" w:ascii="仿宋" w:hAnsi="仿宋" w:eastAsia="仿宋" w:cs="仿宋"/>
          <w:color w:val="000000"/>
          <w:kern w:val="2"/>
          <w:sz w:val="32"/>
          <w:szCs w:val="32"/>
          <w:lang w:val="en-US" w:eastAsia="zh-CN"/>
        </w:rPr>
        <w:t>33</w:t>
      </w:r>
      <w:r>
        <w:rPr>
          <w:rFonts w:hint="eastAsia" w:ascii="仿宋" w:hAnsi="仿宋" w:eastAsia="仿宋" w:cs="仿宋"/>
          <w:color w:val="000000"/>
          <w:kern w:val="2"/>
          <w:sz w:val="32"/>
          <w:szCs w:val="32"/>
          <w:lang w:val="en-US" w:eastAsia="zh-CN"/>
        </w:rPr>
        <w:t>人；社会文化艺术在校生</w:t>
      </w:r>
      <w:r>
        <w:rPr>
          <w:rFonts w:hint="default" w:ascii="仿宋" w:hAnsi="仿宋" w:eastAsia="仿宋" w:cs="仿宋"/>
          <w:color w:val="000000"/>
          <w:kern w:val="2"/>
          <w:sz w:val="32"/>
          <w:szCs w:val="32"/>
          <w:lang w:val="en-US" w:eastAsia="zh-CN"/>
        </w:rPr>
        <w:t>367</w:t>
      </w:r>
      <w:r>
        <w:rPr>
          <w:rFonts w:hint="eastAsia" w:ascii="仿宋" w:hAnsi="仿宋" w:eastAsia="仿宋" w:cs="仿宋"/>
          <w:color w:val="000000"/>
          <w:kern w:val="2"/>
          <w:sz w:val="32"/>
          <w:szCs w:val="32"/>
          <w:lang w:val="en-US" w:eastAsia="zh-CN"/>
        </w:rPr>
        <w:t>人，毕业生</w:t>
      </w:r>
      <w:r>
        <w:rPr>
          <w:rFonts w:hint="default" w:ascii="仿宋" w:hAnsi="仿宋" w:eastAsia="仿宋" w:cs="仿宋"/>
          <w:color w:val="000000"/>
          <w:kern w:val="2"/>
          <w:sz w:val="32"/>
          <w:szCs w:val="32"/>
          <w:lang w:val="en-US" w:eastAsia="zh-CN"/>
        </w:rPr>
        <w:t>37</w:t>
      </w:r>
      <w:r>
        <w:rPr>
          <w:rFonts w:hint="eastAsia" w:ascii="仿宋" w:hAnsi="仿宋" w:eastAsia="仿宋" w:cs="仿宋"/>
          <w:color w:val="000000"/>
          <w:kern w:val="2"/>
          <w:sz w:val="32"/>
          <w:szCs w:val="32"/>
          <w:lang w:val="en-US" w:eastAsia="zh-CN"/>
        </w:rPr>
        <w:t>人；作物生产技术在校生</w:t>
      </w:r>
      <w:r>
        <w:rPr>
          <w:rFonts w:hint="default" w:ascii="仿宋" w:hAnsi="仿宋" w:eastAsia="仿宋" w:cs="仿宋"/>
          <w:color w:val="000000"/>
          <w:kern w:val="2"/>
          <w:sz w:val="32"/>
          <w:szCs w:val="32"/>
          <w:lang w:val="en-US" w:eastAsia="zh-CN"/>
        </w:rPr>
        <w:t>155</w:t>
      </w:r>
      <w:r>
        <w:rPr>
          <w:rFonts w:hint="eastAsia" w:ascii="仿宋" w:hAnsi="仿宋" w:eastAsia="仿宋" w:cs="仿宋"/>
          <w:color w:val="000000"/>
          <w:kern w:val="2"/>
          <w:sz w:val="32"/>
          <w:szCs w:val="32"/>
          <w:lang w:val="en-US" w:eastAsia="zh-CN"/>
        </w:rPr>
        <w:t>人，毕业生</w:t>
      </w:r>
      <w:r>
        <w:rPr>
          <w:rFonts w:hint="default" w:ascii="仿宋" w:hAnsi="仿宋" w:eastAsia="仿宋" w:cs="仿宋"/>
          <w:color w:val="000000"/>
          <w:kern w:val="2"/>
          <w:sz w:val="32"/>
          <w:szCs w:val="32"/>
          <w:lang w:val="en-US" w:eastAsia="zh-CN"/>
        </w:rPr>
        <w:t>27</w:t>
      </w:r>
      <w:r>
        <w:rPr>
          <w:rFonts w:hint="eastAsia" w:ascii="仿宋" w:hAnsi="仿宋" w:eastAsia="仿宋" w:cs="仿宋"/>
          <w:color w:val="000000"/>
          <w:kern w:val="2"/>
          <w:sz w:val="32"/>
          <w:szCs w:val="32"/>
          <w:lang w:val="en-US" w:eastAsia="zh-CN"/>
        </w:rPr>
        <w:t>人；林业生产技术在校生</w:t>
      </w:r>
      <w:r>
        <w:rPr>
          <w:rFonts w:hint="default" w:ascii="仿宋" w:hAnsi="仿宋" w:eastAsia="仿宋" w:cs="仿宋"/>
          <w:color w:val="000000"/>
          <w:kern w:val="2"/>
          <w:sz w:val="32"/>
          <w:szCs w:val="32"/>
          <w:lang w:val="en-US" w:eastAsia="zh-CN"/>
        </w:rPr>
        <w:t>164</w:t>
      </w:r>
      <w:r>
        <w:rPr>
          <w:rFonts w:hint="eastAsia" w:ascii="仿宋" w:hAnsi="仿宋" w:eastAsia="仿宋" w:cs="仿宋"/>
          <w:color w:val="000000"/>
          <w:kern w:val="2"/>
          <w:sz w:val="32"/>
          <w:szCs w:val="32"/>
          <w:lang w:val="en-US" w:eastAsia="zh-CN"/>
        </w:rPr>
        <w:t>人，毕业</w:t>
      </w:r>
      <w:r>
        <w:rPr>
          <w:rFonts w:hint="default" w:ascii="仿宋" w:hAnsi="仿宋" w:eastAsia="仿宋" w:cs="仿宋"/>
          <w:color w:val="000000"/>
          <w:kern w:val="2"/>
          <w:sz w:val="32"/>
          <w:szCs w:val="32"/>
          <w:lang w:val="en-US" w:eastAsia="zh-CN"/>
        </w:rPr>
        <w:t>14</w:t>
      </w:r>
      <w:r>
        <w:rPr>
          <w:rFonts w:hint="eastAsia" w:ascii="仿宋" w:hAnsi="仿宋" w:eastAsia="仿宋" w:cs="仿宋"/>
          <w:color w:val="000000"/>
          <w:kern w:val="2"/>
          <w:sz w:val="32"/>
          <w:szCs w:val="32"/>
          <w:lang w:val="en-US" w:eastAsia="zh-CN"/>
        </w:rPr>
        <w:t>人；大数据技术应用在校生</w:t>
      </w:r>
      <w:r>
        <w:rPr>
          <w:rFonts w:hint="default" w:ascii="仿宋" w:hAnsi="仿宋" w:eastAsia="仿宋" w:cs="仿宋"/>
          <w:color w:val="000000"/>
          <w:kern w:val="2"/>
          <w:sz w:val="32"/>
          <w:szCs w:val="32"/>
          <w:lang w:val="en-US" w:eastAsia="zh-CN"/>
        </w:rPr>
        <w:t>211</w:t>
      </w:r>
      <w:r>
        <w:rPr>
          <w:rFonts w:hint="eastAsia" w:ascii="仿宋" w:hAnsi="仿宋" w:eastAsia="仿宋" w:cs="仿宋"/>
          <w:color w:val="000000"/>
          <w:kern w:val="2"/>
          <w:sz w:val="32"/>
          <w:szCs w:val="32"/>
          <w:lang w:val="en-US" w:eastAsia="zh-CN"/>
        </w:rPr>
        <w:t>人；幼儿保育在校生</w:t>
      </w:r>
      <w:r>
        <w:rPr>
          <w:rFonts w:hint="default" w:ascii="仿宋" w:hAnsi="仿宋" w:eastAsia="仿宋" w:cs="仿宋"/>
          <w:color w:val="000000"/>
          <w:kern w:val="2"/>
          <w:sz w:val="32"/>
          <w:szCs w:val="32"/>
          <w:lang w:val="en-US" w:eastAsia="zh-CN"/>
        </w:rPr>
        <w:t>53</w:t>
      </w:r>
      <w:r>
        <w:rPr>
          <w:rFonts w:hint="eastAsia" w:ascii="仿宋" w:hAnsi="仿宋" w:eastAsia="仿宋" w:cs="仿宋"/>
          <w:color w:val="000000"/>
          <w:kern w:val="2"/>
          <w:sz w:val="32"/>
          <w:szCs w:val="32"/>
          <w:lang w:val="en-US" w:eastAsia="zh-CN"/>
        </w:rPr>
        <w:t>人，毕业生</w:t>
      </w:r>
      <w:r>
        <w:rPr>
          <w:rFonts w:hint="default" w:ascii="仿宋" w:hAnsi="仿宋" w:eastAsia="仿宋" w:cs="仿宋"/>
          <w:color w:val="000000"/>
          <w:kern w:val="2"/>
          <w:sz w:val="32"/>
          <w:szCs w:val="32"/>
          <w:lang w:val="en-US" w:eastAsia="zh-CN"/>
        </w:rPr>
        <w:t>33</w:t>
      </w:r>
      <w:r>
        <w:rPr>
          <w:rFonts w:hint="eastAsia" w:ascii="仿宋" w:hAnsi="仿宋" w:eastAsia="仿宋" w:cs="仿宋"/>
          <w:color w:val="000000"/>
          <w:kern w:val="2"/>
          <w:sz w:val="32"/>
          <w:szCs w:val="32"/>
          <w:lang w:val="en-US" w:eastAsia="zh-CN"/>
        </w:rPr>
        <w:t>人。</w:t>
      </w:r>
    </w:p>
    <w:p>
      <w:pPr>
        <w:pStyle w:val="2"/>
        <w:jc w:val="center"/>
      </w:pPr>
      <w:bookmarkStart w:id="9" w:name="_Toc997"/>
      <w:r>
        <w:drawing>
          <wp:inline distT="0" distB="0" distL="114300" distR="114300">
            <wp:extent cx="3250565" cy="1971040"/>
            <wp:effectExtent l="0" t="0" r="10795" b="1016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21"/>
                    <a:stretch>
                      <a:fillRect/>
                    </a:stretch>
                  </pic:blipFill>
                  <pic:spPr>
                    <a:xfrm>
                      <a:off x="0" y="0"/>
                      <a:ext cx="3250565" cy="1971040"/>
                    </a:xfrm>
                    <a:prstGeom prst="rect">
                      <a:avLst/>
                    </a:prstGeom>
                    <a:noFill/>
                    <a:ln>
                      <a:noFill/>
                    </a:ln>
                  </pic:spPr>
                </pic:pic>
              </a:graphicData>
            </a:graphic>
          </wp:inline>
        </w:drawing>
      </w:r>
    </w:p>
    <w:p>
      <w:pPr>
        <w:pStyle w:val="10"/>
        <w:jc w:val="center"/>
        <w:rPr>
          <w:rFonts w:hint="eastAsia" w:eastAsia="宋体"/>
          <w:lang w:eastAsia="zh-CN"/>
        </w:rPr>
      </w:pPr>
      <w:r>
        <w:t xml:space="preserve">表 </w:t>
      </w:r>
      <w:r>
        <w:fldChar w:fldCharType="begin"/>
      </w:r>
      <w:r>
        <w:instrText xml:space="preserve"> SEQ 表 \* ARABIC </w:instrText>
      </w:r>
      <w:r>
        <w:fldChar w:fldCharType="separate"/>
      </w:r>
      <w:r>
        <w:t>2</w:t>
      </w:r>
      <w:r>
        <w:fldChar w:fldCharType="end"/>
      </w:r>
      <w:bookmarkStart w:id="10" w:name="_Toc17184"/>
      <w:r>
        <w:rPr>
          <w:rFonts w:hint="eastAsia"/>
          <w:lang w:eastAsia="zh-CN"/>
        </w:rPr>
        <w:t>各专业人数构成</w:t>
      </w:r>
      <w:bookmarkEnd w:id="10"/>
    </w:p>
    <w:p>
      <w:pPr>
        <w:pStyle w:val="3"/>
      </w:pPr>
    </w:p>
    <w:p>
      <w:pPr>
        <w:keepNext w:val="0"/>
        <w:keepLines w:val="0"/>
        <w:pageBreakBefore w:val="0"/>
        <w:widowControl w:val="0"/>
        <w:kinsoku/>
        <w:wordWrap/>
        <w:overflowPunct/>
        <w:topLinePunct w:val="0"/>
        <w:autoSpaceDE/>
        <w:autoSpaceDN/>
        <w:bidi w:val="0"/>
        <w:adjustRightInd/>
        <w:snapToGrid/>
        <w:spacing w:line="560" w:lineRule="exact"/>
        <w:ind w:right="0" w:rightChars="0" w:firstLine="320" w:firstLineChars="100"/>
        <w:jc w:val="left"/>
        <w:textAlignment w:val="auto"/>
        <w:outlineLvl w:val="1"/>
        <w:rPr>
          <w:rFonts w:hint="eastAsia" w:ascii="楷体" w:hAnsi="楷体" w:eastAsia="楷体" w:cs="楷体"/>
          <w:b w:val="0"/>
          <w:bCs/>
          <w:kern w:val="2"/>
          <w:sz w:val="32"/>
          <w:szCs w:val="22"/>
          <w:lang w:val="en-US" w:eastAsia="zh-CN" w:bidi="ar-SA"/>
        </w:rPr>
      </w:pPr>
      <w:bookmarkStart w:id="11" w:name="_Toc11123"/>
      <w:r>
        <w:rPr>
          <w:rFonts w:hint="eastAsia" w:ascii="楷体" w:hAnsi="楷体" w:eastAsia="楷体" w:cs="楷体"/>
          <w:b w:val="0"/>
          <w:bCs/>
          <w:kern w:val="2"/>
          <w:sz w:val="32"/>
          <w:szCs w:val="22"/>
          <w:lang w:val="en-US" w:eastAsia="zh-CN" w:bidi="ar-SA"/>
        </w:rPr>
        <w:t>（三）教师队伍</w:t>
      </w:r>
      <w:bookmarkEnd w:id="9"/>
      <w:bookmarkEnd w:id="11"/>
    </w:p>
    <w:p>
      <w:pPr>
        <w:spacing w:line="560" w:lineRule="exact"/>
        <w:ind w:firstLine="640" w:firstLineChars="200"/>
        <w:rPr>
          <w:rFonts w:hint="eastAsia" w:ascii="仿宋_GB2312" w:hAnsi="仿宋_GB2312" w:eastAsia="仿宋_GB2312" w:cs="仿宋_GB2312"/>
          <w:sz w:val="32"/>
          <w:szCs w:val="32"/>
        </w:rPr>
      </w:pPr>
      <w:bookmarkStart w:id="12" w:name="_Toc6307"/>
      <w:r>
        <w:rPr>
          <w:rFonts w:hint="eastAsia" w:ascii="仿宋_GB2312" w:hAnsi="仿宋_GB2312" w:eastAsia="仿宋_GB2312" w:cs="仿宋_GB2312"/>
          <w:sz w:val="32"/>
          <w:szCs w:val="32"/>
          <w:lang w:val="en-US" w:eastAsia="zh-CN"/>
        </w:rPr>
        <w:t>学</w:t>
      </w:r>
      <w:r>
        <w:rPr>
          <w:rFonts w:hint="eastAsia" w:ascii="仿宋_GB2312" w:hAnsi="仿宋_GB2312" w:eastAsia="仿宋_GB2312" w:cs="仿宋_GB2312"/>
          <w:sz w:val="32"/>
          <w:szCs w:val="32"/>
        </w:rPr>
        <w:t>校现有在编专任教师</w:t>
      </w:r>
      <w:r>
        <w:rPr>
          <w:rFonts w:hint="eastAsia" w:ascii="Times New Roman" w:hAnsi="Times New Roman" w:eastAsia="仿宋_GB2312"/>
          <w:sz w:val="32"/>
          <w:szCs w:val="32"/>
        </w:rPr>
        <w:t>14</w:t>
      </w:r>
      <w:r>
        <w:rPr>
          <w:rFonts w:ascii="Times New Roman" w:hAnsi="Times New Roman" w:eastAsia="仿宋_GB2312"/>
          <w:sz w:val="32"/>
          <w:szCs w:val="32"/>
        </w:rPr>
        <w:t>1</w:t>
      </w:r>
      <w:r>
        <w:rPr>
          <w:rFonts w:hint="eastAsia" w:ascii="仿宋_GB2312" w:hAnsi="仿宋_GB2312" w:eastAsia="仿宋_GB2312" w:cs="仿宋_GB2312"/>
          <w:sz w:val="32"/>
          <w:szCs w:val="32"/>
        </w:rPr>
        <w:t>名，专任教师全部达到本科以上学历，结构相对稳定。其中硕士研究生</w:t>
      </w:r>
      <w:r>
        <w:rPr>
          <w:rFonts w:hint="eastAsia" w:ascii="Times New Roman" w:hAnsi="Times New Roman" w:eastAsia="仿宋_GB2312"/>
          <w:sz w:val="32"/>
          <w:szCs w:val="32"/>
        </w:rPr>
        <w:t>7</w:t>
      </w:r>
      <w:r>
        <w:rPr>
          <w:rFonts w:hint="eastAsia" w:ascii="仿宋_GB2312" w:hAnsi="仿宋_GB2312" w:eastAsia="仿宋_GB2312" w:cs="仿宋_GB2312"/>
          <w:sz w:val="32"/>
          <w:szCs w:val="32"/>
        </w:rPr>
        <w:t>人，高级职称教师</w:t>
      </w:r>
      <w:r>
        <w:rPr>
          <w:rFonts w:hint="eastAsia" w:ascii="Times New Roman" w:hAnsi="Times New Roman" w:eastAsia="仿宋_GB2312"/>
          <w:sz w:val="32"/>
          <w:szCs w:val="32"/>
        </w:rPr>
        <w:t>55</w:t>
      </w:r>
      <w:r>
        <w:rPr>
          <w:rFonts w:hint="eastAsia" w:ascii="仿宋_GB2312" w:hAnsi="仿宋_GB2312" w:eastAsia="仿宋_GB2312" w:cs="仿宋_GB2312"/>
          <w:sz w:val="32"/>
          <w:szCs w:val="32"/>
        </w:rPr>
        <w:t>人，专业教师</w:t>
      </w:r>
      <w:r>
        <w:rPr>
          <w:rFonts w:hint="eastAsia" w:ascii="Times New Roman" w:hAnsi="Times New Roman" w:eastAsia="仿宋_GB2312"/>
          <w:sz w:val="32"/>
          <w:szCs w:val="32"/>
        </w:rPr>
        <w:t>98</w:t>
      </w:r>
      <w:r>
        <w:rPr>
          <w:rFonts w:hint="eastAsia" w:ascii="仿宋_GB2312" w:hAnsi="仿宋_GB2312" w:eastAsia="仿宋_GB2312" w:cs="仿宋_GB2312"/>
          <w:sz w:val="32"/>
          <w:szCs w:val="32"/>
        </w:rPr>
        <w:t>人。高级教师占专任教师的</w:t>
      </w:r>
      <w:r>
        <w:rPr>
          <w:rFonts w:hint="eastAsia" w:ascii="Times New Roman" w:hAnsi="Times New Roman" w:eastAsia="仿宋_GB2312"/>
          <w:sz w:val="32"/>
          <w:szCs w:val="32"/>
        </w:rPr>
        <w:t>39%</w:t>
      </w:r>
      <w:r>
        <w:rPr>
          <w:rFonts w:hint="eastAsia" w:ascii="仿宋_GB2312" w:hAnsi="仿宋_GB2312" w:eastAsia="仿宋_GB2312" w:cs="仿宋_GB2312"/>
          <w:sz w:val="32"/>
          <w:szCs w:val="32"/>
        </w:rPr>
        <w:t>。专业教师占专任教师的</w:t>
      </w:r>
      <w:r>
        <w:rPr>
          <w:rFonts w:ascii="Times New Roman" w:hAnsi="Times New Roman" w:eastAsia="仿宋_GB2312"/>
          <w:sz w:val="32"/>
          <w:szCs w:val="32"/>
        </w:rPr>
        <w:t>69.5</w:t>
      </w:r>
      <w:r>
        <w:rPr>
          <w:rFonts w:hint="eastAsia" w:ascii="Times New Roman" w:hAnsi="Times New Roman" w:eastAsia="仿宋_GB2312"/>
          <w:sz w:val="32"/>
          <w:szCs w:val="32"/>
        </w:rPr>
        <w:t>%</w:t>
      </w:r>
      <w:r>
        <w:rPr>
          <w:rFonts w:hint="eastAsia" w:ascii="仿宋_GB2312" w:hAnsi="仿宋_GB2312" w:eastAsia="仿宋_GB2312" w:cs="仿宋_GB2312"/>
          <w:sz w:val="32"/>
          <w:szCs w:val="32"/>
        </w:rPr>
        <w:t>，双师型教师占专业教师的</w:t>
      </w:r>
      <w:r>
        <w:rPr>
          <w:rFonts w:hint="eastAsia" w:ascii="Times New Roman" w:hAnsi="Times New Roman" w:eastAsia="仿宋_GB2312"/>
          <w:sz w:val="32"/>
          <w:szCs w:val="32"/>
        </w:rPr>
        <w:t>56.1%</w:t>
      </w:r>
      <w:r>
        <w:rPr>
          <w:rFonts w:hint="eastAsia" w:ascii="仿宋_GB2312" w:hAnsi="仿宋_GB2312" w:eastAsia="仿宋_GB2312" w:cs="仿宋_GB2312"/>
          <w:sz w:val="32"/>
          <w:szCs w:val="32"/>
        </w:rPr>
        <w:t>，双证教师</w:t>
      </w:r>
      <w:r>
        <w:rPr>
          <w:rFonts w:ascii="Times New Roman" w:hAnsi="Times New Roman" w:eastAsia="仿宋_GB2312"/>
          <w:sz w:val="32"/>
          <w:szCs w:val="32"/>
        </w:rPr>
        <w:t>65</w:t>
      </w:r>
      <w:r>
        <w:rPr>
          <w:rFonts w:hint="eastAsia" w:ascii="仿宋_GB2312" w:hAnsi="仿宋_GB2312" w:eastAsia="仿宋_GB2312" w:cs="仿宋_GB2312"/>
          <w:sz w:val="32"/>
          <w:szCs w:val="32"/>
        </w:rPr>
        <w:t>人，</w:t>
      </w:r>
      <w:r>
        <w:rPr>
          <w:rFonts w:hint="eastAsia" w:ascii="仿宋_GB2312" w:hAnsi="仿宋" w:eastAsia="仿宋_GB2312" w:cs="仿宋"/>
          <w:sz w:val="32"/>
          <w:szCs w:val="32"/>
        </w:rPr>
        <w:t>较去年增加</w:t>
      </w:r>
      <w:r>
        <w:rPr>
          <w:rFonts w:hint="eastAsia" w:ascii="Times New Roman" w:hAnsi="Times New Roman" w:eastAsia="仿宋_GB2312"/>
          <w:sz w:val="32"/>
          <w:szCs w:val="32"/>
        </w:rPr>
        <w:t>10</w:t>
      </w:r>
      <w:r>
        <w:rPr>
          <w:rFonts w:hint="eastAsia" w:ascii="仿宋_GB2312" w:hAnsi="仿宋" w:eastAsia="仿宋_GB2312" w:cs="仿宋"/>
          <w:sz w:val="32"/>
          <w:szCs w:val="32"/>
        </w:rPr>
        <w:t>人</w:t>
      </w:r>
      <w:r>
        <w:rPr>
          <w:rFonts w:hint="eastAsia" w:ascii="仿宋_GB2312" w:hAnsi="仿宋_GB2312" w:eastAsia="仿宋_GB2312" w:cs="仿宋_GB2312"/>
          <w:sz w:val="32"/>
          <w:szCs w:val="32"/>
        </w:rPr>
        <w:t>。学历教育师生比</w:t>
      </w:r>
      <w:r>
        <w:rPr>
          <w:rFonts w:hint="eastAsia" w:ascii="Times New Roman" w:hAnsi="Times New Roman" w:eastAsia="仿宋_GB2312"/>
          <w:sz w:val="32"/>
          <w:szCs w:val="32"/>
        </w:rPr>
        <w:t>1:1</w:t>
      </w:r>
      <w:r>
        <w:rPr>
          <w:rFonts w:ascii="Times New Roman" w:hAnsi="Times New Roman" w:eastAsia="仿宋_GB2312"/>
          <w:sz w:val="32"/>
          <w:szCs w:val="32"/>
        </w:rPr>
        <w:t>9.6</w:t>
      </w:r>
      <w:r>
        <w:rPr>
          <w:rFonts w:hint="eastAsia" w:ascii="仿宋_GB2312" w:hAnsi="仿宋_GB2312" w:eastAsia="仿宋_GB2312" w:cs="仿宋_GB2312"/>
          <w:sz w:val="32"/>
          <w:szCs w:val="32"/>
        </w:rPr>
        <w:t>。从行业企业聘任的兼职教师</w:t>
      </w:r>
      <w:r>
        <w:rPr>
          <w:rFonts w:hint="eastAsia" w:ascii="Times New Roman" w:hAnsi="Times New Roman" w:eastAsia="仿宋_GB2312"/>
          <w:sz w:val="32"/>
          <w:szCs w:val="32"/>
        </w:rPr>
        <w:t>2</w:t>
      </w:r>
      <w:r>
        <w:rPr>
          <w:rFonts w:ascii="Times New Roman" w:hAnsi="Times New Roman" w:eastAsia="仿宋_GB2312"/>
          <w:sz w:val="32"/>
          <w:szCs w:val="32"/>
        </w:rPr>
        <w:t>6</w:t>
      </w:r>
      <w:r>
        <w:rPr>
          <w:rFonts w:hint="eastAsia" w:ascii="仿宋_GB2312" w:hAnsi="仿宋_GB2312" w:eastAsia="仿宋_GB2312" w:cs="仿宋_GB2312"/>
          <w:sz w:val="32"/>
          <w:szCs w:val="32"/>
        </w:rPr>
        <w:t>人占专任教师</w:t>
      </w:r>
      <w:r>
        <w:rPr>
          <w:rFonts w:ascii="Times New Roman" w:hAnsi="Times New Roman" w:eastAsia="仿宋_GB2312"/>
          <w:sz w:val="32"/>
          <w:szCs w:val="32"/>
        </w:rPr>
        <w:t>18.4</w:t>
      </w:r>
      <w:r>
        <w:rPr>
          <w:rFonts w:hint="eastAsia" w:ascii="Times New Roman" w:hAnsi="Times New Roman" w:eastAsia="仿宋_GB2312"/>
          <w:sz w:val="32"/>
          <w:szCs w:val="32"/>
        </w:rPr>
        <w:t>%</w:t>
      </w:r>
      <w:r>
        <w:rPr>
          <w:rFonts w:hint="eastAsia" w:ascii="仿宋_GB2312" w:hAnsi="仿宋_GB2312" w:eastAsia="仿宋_GB2312" w:cs="仿宋_GB2312"/>
          <w:sz w:val="32"/>
          <w:szCs w:val="32"/>
        </w:rPr>
        <w:t>，外聘教师较去年增加</w:t>
      </w:r>
      <w:r>
        <w:rPr>
          <w:rFonts w:hint="eastAsia" w:ascii="Times New Roman" w:hAnsi="Times New Roman" w:eastAsia="仿宋_GB2312"/>
          <w:sz w:val="32"/>
          <w:szCs w:val="32"/>
        </w:rPr>
        <w:t>2</w:t>
      </w:r>
      <w:r>
        <w:rPr>
          <w:rFonts w:hint="eastAsia" w:ascii="仿宋_GB2312" w:hAnsi="仿宋_GB2312" w:eastAsia="仿宋_GB2312" w:cs="仿宋_GB2312"/>
          <w:sz w:val="32"/>
          <w:szCs w:val="32"/>
        </w:rPr>
        <w:t>人。</w:t>
      </w:r>
    </w:p>
    <w:p>
      <w:pPr>
        <w:pStyle w:val="2"/>
      </w:pPr>
      <w:r>
        <w:drawing>
          <wp:inline distT="0" distB="0" distL="114300" distR="114300">
            <wp:extent cx="5541645" cy="2141220"/>
            <wp:effectExtent l="0" t="0" r="5715" b="7620"/>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pic:cNvPicPr>
                      <a:picLocks noChangeAspect="1"/>
                    </pic:cNvPicPr>
                  </pic:nvPicPr>
                  <pic:blipFill>
                    <a:blip r:embed="rId22"/>
                    <a:stretch>
                      <a:fillRect/>
                    </a:stretch>
                  </pic:blipFill>
                  <pic:spPr>
                    <a:xfrm>
                      <a:off x="0" y="0"/>
                      <a:ext cx="5541645" cy="2141220"/>
                    </a:xfrm>
                    <a:prstGeom prst="rect">
                      <a:avLst/>
                    </a:prstGeom>
                    <a:noFill/>
                    <a:ln>
                      <a:noFill/>
                    </a:ln>
                  </pic:spPr>
                </pic:pic>
              </a:graphicData>
            </a:graphic>
          </wp:inline>
        </w:drawing>
      </w:r>
    </w:p>
    <w:p>
      <w:pPr>
        <w:pStyle w:val="10"/>
        <w:jc w:val="center"/>
        <w:rPr>
          <w:rFonts w:hint="eastAsia" w:eastAsia="宋体"/>
          <w:lang w:eastAsia="zh-CN"/>
        </w:rPr>
      </w:pPr>
      <w:r>
        <w:t xml:space="preserve">表 </w:t>
      </w:r>
      <w:r>
        <w:fldChar w:fldCharType="begin"/>
      </w:r>
      <w:r>
        <w:instrText xml:space="preserve"> SEQ 表 \* ARABIC </w:instrText>
      </w:r>
      <w:r>
        <w:fldChar w:fldCharType="separate"/>
      </w:r>
      <w:r>
        <w:t>3</w:t>
      </w:r>
      <w:r>
        <w:fldChar w:fldCharType="end"/>
      </w:r>
      <w:bookmarkStart w:id="13" w:name="_Toc11031"/>
      <w:r>
        <w:rPr>
          <w:rFonts w:hint="eastAsia"/>
          <w:lang w:eastAsia="zh-CN"/>
        </w:rPr>
        <w:t>教师结构</w:t>
      </w:r>
      <w:bookmarkEnd w:id="13"/>
    </w:p>
    <w:p>
      <w:pPr>
        <w:keepNext w:val="0"/>
        <w:keepLines w:val="0"/>
        <w:pageBreakBefore w:val="0"/>
        <w:widowControl w:val="0"/>
        <w:kinsoku/>
        <w:wordWrap/>
        <w:overflowPunct/>
        <w:topLinePunct w:val="0"/>
        <w:autoSpaceDE/>
        <w:autoSpaceDN/>
        <w:bidi w:val="0"/>
        <w:adjustRightInd/>
        <w:snapToGrid/>
        <w:spacing w:line="560" w:lineRule="exact"/>
        <w:ind w:right="0" w:rightChars="0" w:firstLine="320" w:firstLineChars="100"/>
        <w:jc w:val="left"/>
        <w:textAlignment w:val="auto"/>
        <w:outlineLvl w:val="1"/>
        <w:rPr>
          <w:rFonts w:hint="eastAsia" w:ascii="楷体" w:hAnsi="楷体" w:eastAsia="楷体" w:cs="楷体"/>
          <w:b w:val="0"/>
          <w:bCs/>
          <w:kern w:val="2"/>
          <w:sz w:val="32"/>
          <w:szCs w:val="22"/>
          <w:lang w:val="en-US" w:eastAsia="zh-CN" w:bidi="ar-SA"/>
        </w:rPr>
      </w:pPr>
      <w:bookmarkStart w:id="14" w:name="_Toc6870"/>
      <w:bookmarkStart w:id="15" w:name="_Toc28753"/>
      <w:r>
        <w:rPr>
          <w:rFonts w:hint="eastAsia" w:ascii="楷体" w:hAnsi="楷体" w:eastAsia="楷体" w:cs="楷体"/>
          <w:b w:val="0"/>
          <w:bCs/>
          <w:kern w:val="2"/>
          <w:sz w:val="32"/>
          <w:szCs w:val="22"/>
          <w:lang w:val="en-US" w:eastAsia="zh-CN" w:bidi="ar-SA"/>
        </w:rPr>
        <w:t>（四）设施设备</w:t>
      </w:r>
      <w:bookmarkEnd w:id="14"/>
      <w:bookmarkEnd w:id="15"/>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4.1</w:t>
      </w:r>
      <w:r>
        <w:rPr>
          <w:rFonts w:hint="eastAsia" w:ascii="仿宋_GB2312" w:hAnsi="仿宋_GB2312" w:eastAsia="仿宋_GB2312" w:cs="仿宋_GB2312"/>
          <w:sz w:val="32"/>
          <w:szCs w:val="32"/>
        </w:rPr>
        <w:t>实训基地建设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为更好地提升学生的技能水平，</w:t>
      </w:r>
      <w:r>
        <w:rPr>
          <w:rFonts w:hint="eastAsia" w:ascii="仿宋_GB2312" w:hAnsi="仿宋_GB2312" w:eastAsia="仿宋_GB2312" w:cs="仿宋_GB2312"/>
          <w:sz w:val="32"/>
          <w:szCs w:val="32"/>
          <w:lang w:val="en-US" w:eastAsia="zh-CN"/>
        </w:rPr>
        <w:t>学校</w:t>
      </w:r>
      <w:r>
        <w:rPr>
          <w:rFonts w:hint="eastAsia" w:ascii="仿宋_GB2312" w:hAnsi="仿宋_GB2312" w:eastAsia="仿宋_GB2312" w:cs="仿宋_GB2312"/>
          <w:sz w:val="32"/>
          <w:szCs w:val="32"/>
        </w:rPr>
        <w:t>投入</w:t>
      </w:r>
      <w:r>
        <w:rPr>
          <w:rFonts w:ascii="Times New Roman" w:hAnsi="Times New Roman" w:eastAsia="仿宋_GB2312"/>
          <w:sz w:val="32"/>
          <w:szCs w:val="32"/>
        </w:rPr>
        <w:t>156.86</w:t>
      </w:r>
      <w:r>
        <w:rPr>
          <w:rFonts w:hint="eastAsia" w:ascii="仿宋_GB2312" w:hAnsi="仿宋_GB2312" w:eastAsia="仿宋_GB2312" w:cs="仿宋_GB2312"/>
          <w:sz w:val="32"/>
          <w:szCs w:val="32"/>
        </w:rPr>
        <w:t>万元建设虚拟仿真实训室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又投资</w:t>
      </w:r>
      <w:r>
        <w:rPr>
          <w:rFonts w:hint="eastAsia" w:ascii="Times New Roman" w:hAnsi="Times New Roman" w:eastAsia="仿宋_GB2312"/>
          <w:sz w:val="32"/>
          <w:szCs w:val="32"/>
        </w:rPr>
        <w:t>76</w:t>
      </w:r>
      <w:r>
        <w:rPr>
          <w:rFonts w:hint="eastAsia" w:ascii="仿宋_GB2312" w:hAnsi="仿宋_GB2312" w:eastAsia="仿宋_GB2312" w:cs="仿宋_GB2312"/>
          <w:sz w:val="32"/>
          <w:szCs w:val="32"/>
        </w:rPr>
        <w:t>万元，购置150台教学用计算机，装备计算机实训室一个。教学仪器设备总值达到</w:t>
      </w:r>
      <w:r>
        <w:rPr>
          <w:rFonts w:ascii="Times New Roman" w:hAnsi="Times New Roman" w:eastAsia="仿宋_GB2312"/>
          <w:sz w:val="32"/>
          <w:szCs w:val="32"/>
        </w:rPr>
        <w:t>2277.24</w:t>
      </w:r>
      <w:r>
        <w:rPr>
          <w:rFonts w:hint="eastAsia" w:ascii="仿宋_GB2312" w:hAnsi="仿宋_GB2312" w:eastAsia="仿宋_GB2312" w:cs="仿宋_GB2312"/>
          <w:sz w:val="32"/>
          <w:szCs w:val="32"/>
        </w:rPr>
        <w:t>万元，</w:t>
      </w:r>
      <w:r>
        <w:rPr>
          <w:rFonts w:hint="eastAsia" w:ascii="仿宋_GB2312" w:hAnsi="仿宋" w:eastAsia="仿宋_GB2312" w:cs="仿宋"/>
          <w:sz w:val="32"/>
          <w:szCs w:val="32"/>
        </w:rPr>
        <w:t>较去年增加</w:t>
      </w:r>
      <w:r>
        <w:rPr>
          <w:rFonts w:hint="eastAsia" w:ascii="Times New Roman" w:hAnsi="Times New Roman" w:eastAsia="仿宋_GB2312"/>
          <w:sz w:val="32"/>
          <w:szCs w:val="32"/>
        </w:rPr>
        <w:t>232.86</w:t>
      </w:r>
      <w:r>
        <w:rPr>
          <w:rFonts w:hint="eastAsia" w:ascii="仿宋_GB2312" w:hAnsi="仿宋" w:eastAsia="仿宋_GB2312" w:cs="仿宋"/>
          <w:sz w:val="32"/>
          <w:szCs w:val="32"/>
        </w:rPr>
        <w:t>万元</w:t>
      </w:r>
      <w:r>
        <w:rPr>
          <w:rFonts w:hint="eastAsia" w:ascii="仿宋_GB2312" w:hAnsi="仿宋" w:eastAsia="仿宋_GB2312" w:cs="仿宋"/>
          <w:sz w:val="32"/>
          <w:szCs w:val="32"/>
          <w:lang w:eastAsia="zh-CN"/>
        </w:rPr>
        <w:t>。</w:t>
      </w:r>
      <w:r>
        <w:rPr>
          <w:rFonts w:hint="eastAsia" w:ascii="仿宋_GB2312" w:hAnsi="仿宋_GB2312" w:eastAsia="仿宋_GB2312" w:cs="仿宋_GB2312"/>
          <w:sz w:val="32"/>
          <w:szCs w:val="32"/>
        </w:rPr>
        <w:t>生均教学、实习仪器设备资产</w:t>
      </w:r>
      <w:r>
        <w:rPr>
          <w:rFonts w:ascii="Times New Roman" w:hAnsi="Times New Roman" w:eastAsia="仿宋_GB2312"/>
          <w:sz w:val="32"/>
          <w:szCs w:val="32"/>
        </w:rPr>
        <w:t>8227.02</w:t>
      </w:r>
      <w:r>
        <w:rPr>
          <w:rFonts w:hint="eastAsia" w:ascii="仿宋_GB2312" w:hAnsi="仿宋_GB2312" w:eastAsia="仿宋_GB2312" w:cs="仿宋_GB2312"/>
          <w:sz w:val="32"/>
          <w:szCs w:val="32"/>
        </w:rPr>
        <w:t>元。仪器设备2493套、各专业实习工位数</w:t>
      </w:r>
      <w:r>
        <w:rPr>
          <w:rFonts w:ascii="Times New Roman" w:hAnsi="Times New Roman" w:eastAsia="仿宋_GB2312"/>
          <w:sz w:val="32"/>
          <w:szCs w:val="32"/>
        </w:rPr>
        <w:t>1576</w:t>
      </w:r>
      <w:r>
        <w:rPr>
          <w:rFonts w:hint="eastAsia" w:ascii="仿宋_GB2312" w:hAnsi="仿宋_GB2312" w:eastAsia="仿宋_GB2312" w:cs="仿宋_GB2312"/>
          <w:sz w:val="32"/>
          <w:szCs w:val="32"/>
        </w:rPr>
        <w:t>个，生均</w:t>
      </w:r>
      <w:r>
        <w:rPr>
          <w:rFonts w:ascii="Times New Roman" w:hAnsi="Times New Roman" w:eastAsia="仿宋_GB2312"/>
          <w:sz w:val="32"/>
          <w:szCs w:val="32"/>
        </w:rPr>
        <w:t>0.57</w:t>
      </w:r>
      <w:r>
        <w:rPr>
          <w:rFonts w:hint="eastAsia" w:ascii="仿宋_GB2312" w:hAnsi="仿宋_GB2312" w:eastAsia="仿宋_GB2312" w:cs="仿宋_GB2312"/>
          <w:sz w:val="32"/>
          <w:szCs w:val="32"/>
        </w:rPr>
        <w:t>个工位。各专业在校外都建有本专业的实训基地。</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2投资</w:t>
      </w:r>
      <w:r>
        <w:rPr>
          <w:rFonts w:hint="eastAsia" w:ascii="Times New Roman" w:hAnsi="Times New Roman" w:eastAsia="仿宋_GB2312"/>
          <w:sz w:val="32"/>
          <w:szCs w:val="32"/>
        </w:rPr>
        <w:t>83.89</w:t>
      </w:r>
      <w:r>
        <w:rPr>
          <w:rFonts w:hint="eastAsia" w:ascii="仿宋_GB2312" w:hAnsi="仿宋_GB2312" w:eastAsia="仿宋_GB2312" w:cs="仿宋_GB2312"/>
          <w:sz w:val="32"/>
          <w:szCs w:val="32"/>
        </w:rPr>
        <w:t>万元，兴建涿鹿县职业技术教育中心运动场主席台。建设总面积为</w:t>
      </w:r>
      <w:r>
        <w:rPr>
          <w:rFonts w:hint="eastAsia" w:ascii="Times New Roman" w:hAnsi="Times New Roman" w:eastAsia="仿宋_GB2312"/>
          <w:sz w:val="32"/>
          <w:szCs w:val="32"/>
        </w:rPr>
        <w:t>219.35</w:t>
      </w:r>
      <w:r>
        <w:rPr>
          <w:rFonts w:hint="eastAsia" w:ascii="仿宋_GB2312" w:hAnsi="仿宋_GB2312" w:eastAsia="仿宋_GB2312" w:cs="仿宋_GB2312"/>
          <w:sz w:val="32"/>
          <w:szCs w:val="32"/>
        </w:rPr>
        <w:t>平方米的标准化运动场主席台，进一步改善学校环境。投资</w:t>
      </w:r>
      <w:r>
        <w:rPr>
          <w:rFonts w:ascii="Times New Roman" w:hAnsi="Times New Roman" w:eastAsia="仿宋_GB2312"/>
          <w:sz w:val="32"/>
          <w:szCs w:val="32"/>
        </w:rPr>
        <w:t>70.25</w:t>
      </w:r>
      <w:r>
        <w:rPr>
          <w:rFonts w:hint="eastAsia" w:ascii="仿宋_GB2312" w:hAnsi="仿宋_GB2312" w:eastAsia="仿宋_GB2312" w:cs="仿宋_GB2312"/>
          <w:sz w:val="32"/>
          <w:szCs w:val="32"/>
        </w:rPr>
        <w:t>万元用于学校附属设施的安全改造。</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3教学、生活设备购置：投资</w:t>
      </w:r>
      <w:r>
        <w:rPr>
          <w:rFonts w:hint="eastAsia" w:ascii="Times New Roman" w:hAnsi="Times New Roman" w:eastAsia="仿宋_GB2312"/>
          <w:sz w:val="32"/>
          <w:szCs w:val="32"/>
        </w:rPr>
        <w:t>16</w:t>
      </w:r>
      <w:r>
        <w:rPr>
          <w:rFonts w:hint="eastAsia" w:ascii="仿宋_GB2312" w:hAnsi="仿宋_GB2312" w:eastAsia="仿宋_GB2312" w:cs="仿宋_GB2312"/>
          <w:sz w:val="32"/>
          <w:szCs w:val="32"/>
        </w:rPr>
        <w:t>万元对教学楼、实训楼房屋门进行更换。</w:t>
      </w:r>
    </w:p>
    <w:p>
      <w:pPr>
        <w:widowControl/>
        <w:spacing w:line="560" w:lineRule="exact"/>
        <w:ind w:firstLine="640" w:firstLineChars="200"/>
        <w:rPr>
          <w:rFonts w:hint="default" w:ascii="仿宋_GB2312" w:hAnsi="仿宋_GB2312" w:eastAsia="仿宋_GB2312" w:cs="仿宋_GB2312"/>
          <w:sz w:val="32"/>
          <w:szCs w:val="32"/>
          <w:lang w:val="en-US"/>
        </w:rPr>
      </w:pPr>
      <w:r>
        <w:rPr>
          <w:rFonts w:hint="eastAsia" w:ascii="Times New Roman" w:hAnsi="Times New Roman" w:eastAsia="仿宋_GB2312"/>
          <w:sz w:val="32"/>
          <w:szCs w:val="32"/>
          <w:lang w:val="en-US" w:eastAsia="zh-CN"/>
        </w:rPr>
        <w:t xml:space="preserve">1.4.4 </w:t>
      </w:r>
      <w:r>
        <w:rPr>
          <w:rFonts w:ascii="Times New Roman" w:hAnsi="Times New Roman" w:eastAsia="仿宋_GB2312"/>
          <w:sz w:val="32"/>
          <w:szCs w:val="32"/>
        </w:rPr>
        <w:t>202</w:t>
      </w:r>
      <w:r>
        <w:rPr>
          <w:rFonts w:hint="eastAsia" w:ascii="Times New Roman" w:hAnsi="Times New Roman" w:eastAsia="仿宋_GB2312"/>
          <w:sz w:val="32"/>
          <w:szCs w:val="32"/>
          <w:lang w:val="en-US" w:eastAsia="zh-CN"/>
        </w:rPr>
        <w:t>4</w:t>
      </w:r>
      <w:r>
        <w:rPr>
          <w:rFonts w:hint="eastAsia" w:ascii="仿宋_GB2312" w:hAnsi="仿宋_GB2312" w:eastAsia="仿宋_GB2312" w:cs="仿宋_GB2312"/>
          <w:sz w:val="32"/>
          <w:szCs w:val="32"/>
        </w:rPr>
        <w:t>年完成一万册图书采购项目，用于填补和更新图书。各类图书达到了</w:t>
      </w:r>
      <w:r>
        <w:rPr>
          <w:rFonts w:hint="eastAsia" w:ascii="Times New Roman" w:hAnsi="Times New Roman" w:eastAsia="仿宋_GB2312"/>
          <w:sz w:val="32"/>
          <w:szCs w:val="32"/>
        </w:rPr>
        <w:t>8</w:t>
      </w:r>
      <w:r>
        <w:rPr>
          <w:rFonts w:ascii="Times New Roman" w:hAnsi="Times New Roman" w:eastAsia="仿宋_GB2312"/>
          <w:sz w:val="32"/>
          <w:szCs w:val="32"/>
        </w:rPr>
        <w:t>5425</w:t>
      </w:r>
      <w:r>
        <w:rPr>
          <w:rFonts w:hint="eastAsia" w:ascii="仿宋_GB2312" w:hAnsi="仿宋_GB2312" w:eastAsia="仿宋_GB2312" w:cs="仿宋_GB2312"/>
          <w:sz w:val="32"/>
          <w:szCs w:val="32"/>
        </w:rPr>
        <w:t>册，各类刊物</w:t>
      </w:r>
      <w:r>
        <w:rPr>
          <w:rFonts w:hint="eastAsia" w:ascii="Times New Roman" w:hAnsi="Times New Roman" w:eastAsia="仿宋_GB2312"/>
          <w:sz w:val="32"/>
          <w:szCs w:val="32"/>
        </w:rPr>
        <w:t>758</w:t>
      </w:r>
      <w:r>
        <w:rPr>
          <w:rFonts w:hint="eastAsia" w:ascii="仿宋_GB2312" w:hAnsi="仿宋_GB2312" w:eastAsia="仿宋_GB2312" w:cs="仿宋_GB2312"/>
          <w:sz w:val="32"/>
          <w:szCs w:val="32"/>
        </w:rPr>
        <w:t>种，电子图书</w:t>
      </w:r>
      <w:r>
        <w:rPr>
          <w:rFonts w:hint="eastAsia" w:ascii="Times New Roman" w:hAnsi="Times New Roman" w:eastAsia="仿宋_GB2312"/>
          <w:sz w:val="32"/>
          <w:szCs w:val="32"/>
        </w:rPr>
        <w:t>49715</w:t>
      </w:r>
      <w:r>
        <w:rPr>
          <w:rFonts w:hint="eastAsia" w:ascii="仿宋_GB2312" w:hAnsi="仿宋_GB2312" w:eastAsia="仿宋_GB2312" w:cs="仿宋_GB2312"/>
          <w:sz w:val="32"/>
          <w:szCs w:val="32"/>
        </w:rPr>
        <w:t>册，其中专业图书</w:t>
      </w:r>
      <w:r>
        <w:rPr>
          <w:rFonts w:hint="eastAsia" w:ascii="Times New Roman" w:hAnsi="Times New Roman" w:eastAsia="仿宋_GB2312"/>
          <w:sz w:val="32"/>
          <w:szCs w:val="32"/>
        </w:rPr>
        <w:t>43045</w:t>
      </w:r>
      <w:r>
        <w:rPr>
          <w:rFonts w:hint="eastAsia" w:ascii="仿宋_GB2312" w:hAnsi="仿宋_GB2312" w:eastAsia="仿宋_GB2312" w:cs="仿宋_GB2312"/>
          <w:sz w:val="32"/>
          <w:szCs w:val="32"/>
        </w:rPr>
        <w:t>册，占图书总数的</w:t>
      </w:r>
      <w:r>
        <w:rPr>
          <w:rFonts w:hint="eastAsia" w:ascii="Times New Roman" w:hAnsi="Times New Roman" w:eastAsia="仿宋_GB2312"/>
          <w:sz w:val="32"/>
          <w:szCs w:val="32"/>
        </w:rPr>
        <w:t>53%</w:t>
      </w:r>
      <w:r>
        <w:rPr>
          <w:rFonts w:hint="eastAsia" w:ascii="仿宋_GB2312" w:hAnsi="仿宋_GB2312" w:eastAsia="仿宋_GB2312" w:cs="仿宋_GB2312"/>
          <w:sz w:val="32"/>
          <w:szCs w:val="32"/>
        </w:rPr>
        <w:t>。生均图书</w:t>
      </w:r>
      <w:r>
        <w:rPr>
          <w:rFonts w:ascii="Times New Roman" w:hAnsi="Times New Roman" w:eastAsia="仿宋_GB2312"/>
          <w:sz w:val="32"/>
          <w:szCs w:val="32"/>
        </w:rPr>
        <w:t>31</w:t>
      </w:r>
      <w:r>
        <w:rPr>
          <w:rFonts w:hint="eastAsia" w:ascii="仿宋_GB2312" w:hAnsi="仿宋_GB2312" w:eastAsia="仿宋_GB2312" w:cs="仿宋_GB2312"/>
          <w:sz w:val="32"/>
          <w:szCs w:val="32"/>
        </w:rPr>
        <w:t>册。</w:t>
      </w:r>
      <w:r>
        <w:rPr>
          <w:rFonts w:hint="eastAsia" w:ascii="仿宋_GB2312" w:hAnsi="仿宋_GB2312" w:eastAsia="仿宋_GB2312" w:cs="仿宋_GB2312"/>
          <w:sz w:val="32"/>
          <w:szCs w:val="32"/>
          <w:lang w:val="en-US" w:eastAsia="zh-CN"/>
        </w:rPr>
        <w:t>该</w:t>
      </w:r>
      <w:r>
        <w:rPr>
          <w:rFonts w:hint="eastAsia" w:ascii="仿宋_GB2312" w:hAnsi="仿宋_GB2312" w:eastAsia="仿宋_GB2312" w:cs="仿宋_GB2312"/>
          <w:sz w:val="32"/>
          <w:szCs w:val="32"/>
        </w:rPr>
        <w:t>校配备图书管理员</w:t>
      </w:r>
      <w:r>
        <w:rPr>
          <w:rFonts w:hint="eastAsia" w:ascii="Times New Roman" w:hAnsi="Times New Roman" w:eastAsia="仿宋_GB2312"/>
          <w:sz w:val="32"/>
          <w:szCs w:val="32"/>
        </w:rPr>
        <w:t>2</w:t>
      </w:r>
      <w:r>
        <w:rPr>
          <w:rFonts w:hint="eastAsia" w:ascii="仿宋_GB2312" w:hAnsi="仿宋_GB2312" w:eastAsia="仿宋_GB2312" w:cs="仿宋_GB2312"/>
          <w:sz w:val="32"/>
          <w:szCs w:val="32"/>
        </w:rPr>
        <w:t>名，设有图书室、报刊室、教师阅览室、学生阅览室、电子阅览室，教师阅览(资料)室座位</w:t>
      </w:r>
      <w:r>
        <w:rPr>
          <w:rFonts w:hint="eastAsia" w:ascii="Times New Roman" w:hAnsi="Times New Roman" w:eastAsia="仿宋_GB2312"/>
          <w:sz w:val="32"/>
          <w:szCs w:val="32"/>
        </w:rPr>
        <w:t>47</w:t>
      </w:r>
      <w:r>
        <w:rPr>
          <w:rFonts w:hint="eastAsia" w:ascii="仿宋_GB2312" w:hAnsi="仿宋_GB2312" w:eastAsia="仿宋_GB2312" w:cs="仿宋_GB2312"/>
          <w:sz w:val="32"/>
          <w:szCs w:val="32"/>
        </w:rPr>
        <w:t>个；学生阅览室座位数</w:t>
      </w:r>
      <w:r>
        <w:rPr>
          <w:rFonts w:hint="eastAsia" w:ascii="Times New Roman" w:hAnsi="Times New Roman" w:eastAsia="仿宋_GB2312"/>
          <w:sz w:val="32"/>
          <w:szCs w:val="32"/>
        </w:rPr>
        <w:t>394</w:t>
      </w:r>
      <w:r>
        <w:rPr>
          <w:rFonts w:hint="eastAsia" w:ascii="仿宋_GB2312" w:hAnsi="仿宋_GB2312" w:eastAsia="仿宋_GB2312" w:cs="仿宋_GB2312"/>
          <w:sz w:val="32"/>
          <w:szCs w:val="32"/>
        </w:rPr>
        <w:t>个。图书管理规范，管理手段信息化，借阅率</w:t>
      </w:r>
      <w:r>
        <w:rPr>
          <w:rFonts w:hint="eastAsia" w:ascii="Times New Roman" w:hAnsi="Times New Roman" w:eastAsia="仿宋_GB2312"/>
          <w:sz w:val="32"/>
          <w:szCs w:val="32"/>
        </w:rPr>
        <w:t>65%</w:t>
      </w:r>
      <w:r>
        <w:rPr>
          <w:rFonts w:hint="eastAsia" w:ascii="仿宋_GB2312" w:hAnsi="仿宋_GB2312" w:eastAsia="仿宋_GB2312" w:cs="仿宋_GB2312"/>
          <w:sz w:val="32"/>
          <w:szCs w:val="32"/>
        </w:rPr>
        <w:t>以上。</w:t>
      </w:r>
      <w:r>
        <w:rPr>
          <w:rFonts w:hint="default" w:ascii="仿宋_GB2312" w:hAnsi="仿宋_GB2312" w:eastAsia="仿宋_GB2312" w:cs="仿宋_GB2312"/>
          <w:sz w:val="32"/>
          <w:szCs w:val="32"/>
          <w:lang w:val="en-US"/>
        </w:rPr>
        <w:t xml:space="preserve"> </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1.4.5</w:t>
      </w:r>
      <w:r>
        <w:rPr>
          <w:rFonts w:hint="eastAsia" w:ascii="仿宋_GB2312" w:hAnsi="仿宋_GB2312" w:eastAsia="仿宋_GB2312" w:cs="仿宋_GB2312"/>
          <w:sz w:val="32"/>
          <w:szCs w:val="32"/>
        </w:rPr>
        <w:t>资金管理方面，</w:t>
      </w:r>
      <w:r>
        <w:rPr>
          <w:rFonts w:hint="eastAsia" w:ascii="仿宋_GB2312" w:hAnsi="仿宋_GB2312" w:eastAsia="仿宋_GB2312" w:cs="仿宋_GB2312"/>
          <w:sz w:val="32"/>
          <w:szCs w:val="32"/>
          <w:lang w:val="en-US" w:eastAsia="zh-CN"/>
        </w:rPr>
        <w:t>学</w:t>
      </w:r>
      <w:r>
        <w:rPr>
          <w:rFonts w:hint="eastAsia" w:ascii="仿宋_GB2312" w:hAnsi="仿宋_GB2312" w:eastAsia="仿宋_GB2312" w:cs="仿宋_GB2312"/>
          <w:sz w:val="32"/>
          <w:szCs w:val="32"/>
        </w:rPr>
        <w:t>校不仅更新了内部控制制度和人员，而且本级政府资金使用率达到</w:t>
      </w:r>
      <w:r>
        <w:rPr>
          <w:rFonts w:hint="eastAsia" w:ascii="Times New Roman" w:hAnsi="Times New Roman" w:eastAsia="仿宋_GB2312"/>
          <w:sz w:val="32"/>
          <w:szCs w:val="32"/>
        </w:rPr>
        <w:t>100%</w:t>
      </w:r>
      <w:r>
        <w:rPr>
          <w:rFonts w:hint="eastAsia" w:ascii="仿宋_GB2312" w:hAnsi="仿宋_GB2312" w:eastAsia="仿宋_GB2312" w:cs="仿宋_GB2312"/>
          <w:sz w:val="32"/>
          <w:szCs w:val="32"/>
        </w:rPr>
        <w:t>，支出率</w:t>
      </w:r>
      <w:r>
        <w:rPr>
          <w:rFonts w:ascii="Times New Roman" w:hAnsi="Times New Roman" w:eastAsia="仿宋_GB2312"/>
          <w:sz w:val="32"/>
          <w:szCs w:val="32"/>
        </w:rPr>
        <w:t>100%</w:t>
      </w:r>
      <w:r>
        <w:rPr>
          <w:rFonts w:hint="eastAsia" w:ascii="仿宋_GB2312" w:hAnsi="仿宋_GB2312" w:eastAsia="仿宋_GB2312" w:cs="仿宋_GB2312"/>
          <w:sz w:val="32"/>
          <w:szCs w:val="32"/>
        </w:rPr>
        <w:t>，支出进度符合要求。圆满完成了项目建设各项任务。</w:t>
      </w:r>
      <w:bookmarkEnd w:id="12"/>
      <w:bookmarkStart w:id="16" w:name="_Toc24645"/>
    </w:p>
    <w:p>
      <w:pPr>
        <w:pStyle w:val="5"/>
        <w:keepNext/>
        <w:keepLines/>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left"/>
        <w:textAlignment w:val="auto"/>
        <w:outlineLvl w:val="0"/>
        <w:rPr>
          <w:rFonts w:hint="eastAsia"/>
          <w:b w:val="0"/>
          <w:bCs/>
          <w:lang w:val="en-US" w:eastAsia="zh-CN"/>
        </w:rPr>
      </w:pPr>
      <w:bookmarkStart w:id="17" w:name="_Toc9606"/>
      <w:r>
        <w:rPr>
          <w:rFonts w:hint="eastAsia"/>
          <w:b w:val="0"/>
          <w:bCs/>
          <w:lang w:val="en-US" w:eastAsia="zh-CN"/>
        </w:rPr>
        <w:t>二、人才培养</w:t>
      </w:r>
      <w:bookmarkEnd w:id="16"/>
      <w:bookmarkEnd w:id="17"/>
      <w:bookmarkStart w:id="18" w:name="_Toc1573"/>
    </w:p>
    <w:p>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left"/>
        <w:textAlignment w:val="auto"/>
        <w:outlineLvl w:val="1"/>
        <w:rPr>
          <w:rFonts w:hint="eastAsia" w:ascii="楷体" w:hAnsi="楷体" w:eastAsia="楷体" w:cs="楷体"/>
          <w:b w:val="0"/>
          <w:bCs/>
          <w:kern w:val="2"/>
          <w:sz w:val="32"/>
          <w:szCs w:val="22"/>
          <w:lang w:val="en-US" w:eastAsia="zh-CN" w:bidi="ar-SA"/>
        </w:rPr>
      </w:pPr>
      <w:bookmarkStart w:id="19" w:name="_Toc26343"/>
      <w:r>
        <w:rPr>
          <w:rFonts w:hint="eastAsia" w:ascii="楷体" w:hAnsi="楷体" w:eastAsia="楷体" w:cs="楷体"/>
          <w:b w:val="0"/>
          <w:bCs/>
          <w:kern w:val="2"/>
          <w:sz w:val="32"/>
          <w:szCs w:val="22"/>
          <w:lang w:val="en-US" w:eastAsia="zh-CN" w:bidi="ar-SA"/>
        </w:rPr>
        <w:t>（一）学生发展</w:t>
      </w:r>
      <w:bookmarkEnd w:id="18"/>
      <w:bookmarkEnd w:id="19"/>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40" w:firstLineChars="200"/>
        <w:jc w:val="left"/>
        <w:textAlignment w:val="auto"/>
        <w:outlineLvl w:val="9"/>
        <w:rPr>
          <w:rFonts w:hint="eastAsia" w:ascii="Times New Roman" w:hAnsi="Times New Roman" w:eastAsia="仿宋_GB2312"/>
          <w:sz w:val="32"/>
          <w:szCs w:val="32"/>
          <w:lang w:val="en-US" w:eastAsia="zh-CN"/>
        </w:rPr>
      </w:pPr>
      <w:r>
        <w:rPr>
          <w:rFonts w:hint="default" w:ascii="Times New Roman" w:hAnsi="Times New Roman" w:eastAsia="仿宋_GB2312"/>
          <w:sz w:val="32"/>
          <w:szCs w:val="32"/>
          <w:lang w:val="en-US" w:eastAsia="zh-CN"/>
        </w:rPr>
        <w:t>1.</w:t>
      </w:r>
      <w:r>
        <w:rPr>
          <w:rFonts w:hint="eastAsia" w:ascii="Times New Roman" w:hAnsi="Times New Roman" w:eastAsia="仿宋_GB2312"/>
          <w:sz w:val="32"/>
          <w:szCs w:val="32"/>
          <w:lang w:val="en-US" w:eastAsia="zh-CN"/>
        </w:rPr>
        <w:t>党建引领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b w:val="0"/>
          <w:color w:val="000000"/>
          <w:kern w:val="2"/>
          <w:sz w:val="32"/>
          <w:szCs w:val="32"/>
          <w:lang w:val="en-US" w:eastAsia="zh-CN" w:bidi="ar-SA"/>
        </w:rPr>
      </w:pPr>
      <w:r>
        <w:rPr>
          <w:rFonts w:hint="eastAsia" w:ascii="仿宋" w:hAnsi="仿宋" w:eastAsia="仿宋" w:cs="仿宋"/>
          <w:b w:val="0"/>
          <w:color w:val="000000"/>
          <w:kern w:val="2"/>
          <w:sz w:val="32"/>
          <w:szCs w:val="32"/>
          <w:lang w:val="en-US" w:eastAsia="zh-CN" w:bidi="ar-SA"/>
        </w:rPr>
        <w:t>学校党委始终把党的政治建设摆在首位，坚持以习近平新时代中国特色社会主义思想为指导，认真学习贯彻落实党的二十届三中全会精神和习近平总书记关于职业教育的重要讲话以及重要指示精神，严格落实“第一议题”制度，“党委会议事制度”“校领导定期谈话制度”等。党支部不断丰富“三会一课”、主题党日内容，组织学校优秀党员干部赴西柏坡红色革命基地开展研学和党性教育，开展“找问题，找差距，找短板”讨论活动，切实提高教书育人的精气神。学校党委坚持把党的领导贯穿学校改革发展始终，充分发挥基层党组织战斗堡垒作用，进一步推动学校党建工作与教育教学双融双促，严格落实“三重一大”决策机制，分别健全完善党委会和校委会的议事规则，明确决策范围和程序，加强党务与校务统筹，保证党建与教学双促进双提升，不断增强学校发展的创造力、凝聚力和战斗力。在学校党委带领下，学校先后被评为张家口市2023年度开放大学教育教学管理、招生先进单位、2023年网络安全和信息化工作先进集体、国家安全教育实验学校等殊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40" w:firstLineChars="200"/>
        <w:jc w:val="left"/>
        <w:textAlignment w:val="auto"/>
        <w:outlineLvl w:val="9"/>
        <w:rPr>
          <w:rFonts w:hint="eastAsia" w:ascii="Times New Roman" w:hAnsi="Times New Roman" w:eastAsia="仿宋_GB2312"/>
          <w:sz w:val="32"/>
          <w:szCs w:val="32"/>
          <w:lang w:val="en-US" w:eastAsia="zh-CN"/>
        </w:rPr>
      </w:pPr>
      <w:r>
        <w:rPr>
          <w:rFonts w:hint="default" w:ascii="Times New Roman" w:hAnsi="Times New Roman" w:eastAsia="仿宋_GB2312"/>
          <w:sz w:val="32"/>
          <w:szCs w:val="32"/>
          <w:lang w:val="en-US" w:eastAsia="zh-CN"/>
        </w:rPr>
        <w:t>2.</w:t>
      </w:r>
      <w:r>
        <w:rPr>
          <w:rFonts w:hint="eastAsia" w:ascii="Times New Roman" w:hAnsi="Times New Roman" w:eastAsia="仿宋_GB2312"/>
          <w:sz w:val="32"/>
          <w:szCs w:val="32"/>
          <w:lang w:val="en-US" w:eastAsia="zh-CN"/>
        </w:rPr>
        <w:t>立德树人</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仿宋" w:hAnsi="仿宋" w:eastAsia="仿宋" w:cs="仿宋"/>
          <w:b w:val="0"/>
          <w:color w:val="000000"/>
          <w:kern w:val="2"/>
          <w:sz w:val="32"/>
          <w:szCs w:val="32"/>
          <w:lang w:val="en-US" w:eastAsia="zh-CN" w:bidi="ar-SA"/>
        </w:rPr>
      </w:pP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根据学校实际，及时优化完善《中层干部选用办法和干部培养方案》，</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至今学校有中层及以上领导干部</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26人。学校</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合理安排</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领导</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干部、</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级部主任</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、优秀教师等进企业、赴高校进行交流学习。按照将党员教师培养成骨干教师，将骨干教师培养成党员的“双培养”机制，培养发展校级领导</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3</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人、中层干部</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6</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人，一线教师2人。分析研究形成学校人才培养方案，培养德技兼备的名师</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建立名师工作室</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2个</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和</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1个</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大国工匠团队</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，着力提高“双师型”教师比重，构建党、政、校、企多方参与的教师队伍建设体系。</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至今已有</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23</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名教师先后被评为市级</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骨干教师</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，组织学生参加省、市级中职学生技能大赛等，</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省</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级二等奖</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1</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项、三等奖</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1</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项，获</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市</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级多项</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荣誉</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，更好的引导青年学生发挥技能优势、创新优势，成长成才、升学就业、立足社会。以区域重点支柱产业为核心</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积极开展县域产教联合体和行业产教融合共同体的实践探索，</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深入开展调研活动，进一步了解企业对人才需求和期望，促进校企深度融合。</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为毕业生创造更多就业机会。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lang w:val="en-US" w:eastAsia="zh-CN"/>
        </w:rPr>
      </w:pPr>
      <w:r>
        <w:rPr>
          <w:rFonts w:hint="eastAsia" w:ascii="仿宋" w:hAnsi="仿宋" w:eastAsia="仿宋" w:cs="仿宋"/>
          <w:color w:val="000000"/>
          <w:sz w:val="32"/>
          <w:szCs w:val="32"/>
          <w:lang w:val="en-US" w:eastAsia="zh-CN"/>
        </w:rPr>
        <w:t xml:space="preserve">为贯彻落实习近平总书记在学校思想政治理论课座谈会重要讲话精神，进一步加强本校思政课建设，严格按照师生比不低于 1:350 的比例核定专职思政课教师岗位，根据本校在校生人数配备 </w:t>
      </w:r>
      <w:r>
        <w:rPr>
          <w:rFonts w:hint="default" w:ascii="仿宋" w:hAnsi="仿宋" w:eastAsia="仿宋" w:cs="仿宋"/>
          <w:color w:val="000000"/>
          <w:sz w:val="32"/>
          <w:szCs w:val="32"/>
          <w:lang w:val="en-US" w:eastAsia="zh-CN"/>
        </w:rPr>
        <w:t>9</w:t>
      </w:r>
      <w:r>
        <w:rPr>
          <w:rFonts w:hint="eastAsia" w:ascii="仿宋" w:hAnsi="仿宋" w:eastAsia="仿宋" w:cs="仿宋"/>
          <w:color w:val="000000"/>
          <w:sz w:val="32"/>
          <w:szCs w:val="32"/>
          <w:lang w:val="en-US" w:eastAsia="zh-CN"/>
        </w:rPr>
        <w:t xml:space="preserve"> 名思政课教师。学生</w:t>
      </w:r>
      <w:r>
        <w:rPr>
          <w:rFonts w:hint="eastAsia" w:ascii="仿宋" w:hAnsi="仿宋" w:eastAsia="仿宋" w:cs="仿宋"/>
          <w:color w:val="000000" w:themeColor="text1"/>
          <w:sz w:val="32"/>
          <w:szCs w:val="32"/>
          <w14:textFill>
            <w14:solidFill>
              <w14:schemeClr w14:val="tx1"/>
            </w14:solidFill>
          </w14:textFill>
        </w:rPr>
        <w:t>文化课合格率</w:t>
      </w:r>
      <w:r>
        <w:rPr>
          <w:rFonts w:hint="eastAsia" w:ascii="仿宋" w:hAnsi="仿宋" w:eastAsia="仿宋" w:cs="仿宋"/>
          <w:color w:val="000000" w:themeColor="text1"/>
          <w:sz w:val="32"/>
          <w:szCs w:val="32"/>
          <w:lang w:val="en-US" w:eastAsia="zh-CN"/>
          <w14:textFill>
            <w14:solidFill>
              <w14:schemeClr w14:val="tx1"/>
            </w14:solidFill>
          </w14:textFill>
        </w:rPr>
        <w:t>100</w:t>
      </w:r>
      <w:r>
        <w:rPr>
          <w:rFonts w:hint="eastAsia" w:ascii="仿宋" w:hAnsi="仿宋" w:eastAsia="仿宋" w:cs="仿宋"/>
          <w:color w:val="000000" w:themeColor="text1"/>
          <w:sz w:val="32"/>
          <w:szCs w:val="32"/>
          <w14:textFill>
            <w14:solidFill>
              <w14:schemeClr w14:val="tx1"/>
            </w14:solidFill>
          </w14:textFill>
        </w:rPr>
        <w:t>%，专业技能合格率</w:t>
      </w:r>
      <w:r>
        <w:rPr>
          <w:rFonts w:hint="eastAsia" w:ascii="仿宋" w:hAnsi="仿宋" w:eastAsia="仿宋" w:cs="仿宋"/>
          <w:color w:val="000000" w:themeColor="text1"/>
          <w:sz w:val="32"/>
          <w:szCs w:val="32"/>
          <w:lang w:val="en-US" w:eastAsia="zh-CN"/>
          <w14:textFill>
            <w14:solidFill>
              <w14:schemeClr w14:val="tx1"/>
            </w14:solidFill>
          </w14:textFill>
        </w:rPr>
        <w:t>94.5%</w:t>
      </w:r>
      <w:r>
        <w:rPr>
          <w:rFonts w:hint="eastAsia" w:ascii="仿宋" w:hAnsi="仿宋" w:eastAsia="仿宋" w:cs="仿宋"/>
          <w:color w:val="000000" w:themeColor="text1"/>
          <w:sz w:val="32"/>
          <w:szCs w:val="32"/>
          <w14:textFill>
            <w14:solidFill>
              <w14:schemeClr w14:val="tx1"/>
            </w14:solidFill>
          </w14:textFill>
        </w:rPr>
        <w:t>，体</w:t>
      </w:r>
      <w:r>
        <w:rPr>
          <w:rFonts w:hint="eastAsia" w:ascii="仿宋" w:hAnsi="仿宋" w:eastAsia="仿宋" w:cs="仿宋"/>
          <w:color w:val="000000" w:themeColor="text1"/>
          <w:sz w:val="32"/>
          <w:szCs w:val="32"/>
          <w:lang w:eastAsia="zh-CN"/>
          <w14:textFill>
            <w14:solidFill>
              <w14:schemeClr w14:val="tx1"/>
            </w14:solidFill>
          </w14:textFill>
        </w:rPr>
        <w:t>质</w:t>
      </w:r>
      <w:r>
        <w:rPr>
          <w:rFonts w:hint="eastAsia" w:ascii="仿宋" w:hAnsi="仿宋" w:eastAsia="仿宋" w:cs="仿宋"/>
          <w:color w:val="000000" w:themeColor="text1"/>
          <w:sz w:val="32"/>
          <w:szCs w:val="32"/>
          <w14:textFill>
            <w14:solidFill>
              <w14:schemeClr w14:val="tx1"/>
            </w14:solidFill>
          </w14:textFill>
        </w:rPr>
        <w:t>测试合格率</w:t>
      </w:r>
      <w:r>
        <w:rPr>
          <w:rFonts w:hint="default" w:ascii="仿宋" w:hAnsi="仿宋" w:eastAsia="仿宋" w:cs="仿宋"/>
          <w:color w:val="000000" w:themeColor="text1"/>
          <w:sz w:val="32"/>
          <w:szCs w:val="32"/>
          <w:lang w:val="en-US" w:eastAsia="zh-CN"/>
          <w14:textFill>
            <w14:solidFill>
              <w14:schemeClr w14:val="tx1"/>
            </w14:solidFill>
          </w14:textFill>
        </w:rPr>
        <w:t>81</w:t>
      </w: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drawing>
          <wp:anchor distT="0" distB="0" distL="114300" distR="114300" simplePos="0" relativeHeight="251672576" behindDoc="0" locked="0" layoutInCell="1" allowOverlap="1">
            <wp:simplePos x="0" y="0"/>
            <wp:positionH relativeFrom="column">
              <wp:posOffset>288290</wp:posOffset>
            </wp:positionH>
            <wp:positionV relativeFrom="paragraph">
              <wp:posOffset>1242060</wp:posOffset>
            </wp:positionV>
            <wp:extent cx="5260975" cy="3195320"/>
            <wp:effectExtent l="0" t="0" r="12065" b="5080"/>
            <wp:wrapTopAndBottom/>
            <wp:docPr id="1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56"/>
                    <pic:cNvPicPr>
                      <a:picLocks noChangeAspect="1"/>
                    </pic:cNvPicPr>
                  </pic:nvPicPr>
                  <pic:blipFill>
                    <a:blip r:embed="rId23" r:link="rId24"/>
                    <a:stretch>
                      <a:fillRect/>
                    </a:stretch>
                  </pic:blipFill>
                  <pic:spPr>
                    <a:xfrm>
                      <a:off x="0" y="0"/>
                      <a:ext cx="5260975" cy="3195320"/>
                    </a:xfrm>
                    <a:prstGeom prst="rect">
                      <a:avLst/>
                    </a:prstGeom>
                    <a:noFill/>
                    <a:ln w="9525">
                      <a:noFill/>
                      <a:miter/>
                    </a:ln>
                  </pic:spPr>
                </pic:pic>
              </a:graphicData>
            </a:graphic>
          </wp:anchor>
        </w:drawing>
      </w:r>
      <w:r>
        <w:rPr>
          <w:rFonts w:hint="eastAsia" w:ascii="仿宋" w:hAnsi="仿宋" w:eastAsia="仿宋" w:cs="仿宋"/>
          <w:color w:val="000000"/>
          <w:sz w:val="32"/>
          <w:szCs w:val="32"/>
          <w:lang w:val="en-US" w:eastAsia="zh-CN"/>
        </w:rPr>
        <w:t xml:space="preserve">在张家口市中小学田径运动会中成绩为全县高中组团体总分第一名。在涿鹿县第34届中小学田径运动会中成绩为全县高中组团体总分第一名。 </w:t>
      </w:r>
    </w:p>
    <w:p>
      <w:pPr>
        <w:pStyle w:val="10"/>
        <w:jc w:val="center"/>
      </w:pPr>
      <w:r>
        <w:t xml:space="preserve">图 </w:t>
      </w:r>
      <w:r>
        <w:fldChar w:fldCharType="begin"/>
      </w:r>
      <w:r>
        <w:instrText xml:space="preserve"> SEQ 图 \* ARABIC </w:instrText>
      </w:r>
      <w:r>
        <w:fldChar w:fldCharType="separate"/>
      </w:r>
      <w:r>
        <w:t>1</w:t>
      </w:r>
      <w:r>
        <w:fldChar w:fldCharType="end"/>
      </w:r>
      <w:bookmarkStart w:id="20" w:name="_Toc3560"/>
      <w:bookmarkStart w:id="21" w:name="_Toc1937"/>
      <w:bookmarkStart w:id="22" w:name="_Toc28262"/>
      <w:bookmarkStart w:id="23" w:name="_Toc30586"/>
      <w:bookmarkStart w:id="24" w:name="_Toc22393"/>
      <w:r>
        <w:rPr>
          <w:rFonts w:hint="eastAsia"/>
          <w:lang w:eastAsia="zh-CN"/>
        </w:rPr>
        <w:t>在</w:t>
      </w:r>
      <w:r>
        <w:rPr>
          <w:rFonts w:hint="eastAsia"/>
          <w:lang w:val="en-US" w:eastAsia="zh-CN"/>
        </w:rPr>
        <w:t>涿鹿县</w:t>
      </w:r>
      <w:r>
        <w:rPr>
          <w:rFonts w:hint="eastAsia"/>
          <w:lang w:eastAsia="zh-CN"/>
        </w:rPr>
        <w:t>第</w:t>
      </w:r>
      <w:r>
        <w:rPr>
          <w:rFonts w:hint="eastAsia"/>
          <w:lang w:val="en-US" w:eastAsia="zh-CN"/>
        </w:rPr>
        <w:t>三</w:t>
      </w:r>
      <w:r>
        <w:rPr>
          <w:rFonts w:hint="eastAsia"/>
          <w:lang w:eastAsia="zh-CN"/>
        </w:rPr>
        <w:t>十</w:t>
      </w:r>
      <w:r>
        <w:rPr>
          <w:rFonts w:hint="eastAsia"/>
          <w:lang w:val="en-US" w:eastAsia="zh-CN"/>
        </w:rPr>
        <w:t>四</w:t>
      </w:r>
      <w:r>
        <w:rPr>
          <w:rFonts w:hint="eastAsia"/>
          <w:lang w:eastAsia="zh-CN"/>
        </w:rPr>
        <w:t>届</w:t>
      </w:r>
      <w:r>
        <w:rPr>
          <w:rFonts w:hint="eastAsia"/>
          <w:lang w:val="en-US" w:eastAsia="zh-CN"/>
        </w:rPr>
        <w:t>中小学生田径</w:t>
      </w:r>
      <w:r>
        <w:rPr>
          <w:rFonts w:hint="eastAsia"/>
          <w:lang w:eastAsia="zh-CN"/>
        </w:rPr>
        <w:t>运动会上获奖</w:t>
      </w:r>
      <w:bookmarkEnd w:id="20"/>
      <w:bookmarkEnd w:id="21"/>
      <w:bookmarkEnd w:id="22"/>
      <w:bookmarkEnd w:id="23"/>
      <w:bookmarkEnd w:id="24"/>
    </w:p>
    <w:p>
      <w:pPr>
        <w:pStyle w:val="10"/>
        <w:jc w:val="center"/>
        <w:rPr>
          <w:rFonts w:hint="eastAsia"/>
          <w:lang w:val="en-US" w:eastAsia="zh-CN"/>
        </w:rPr>
      </w:pPr>
      <w:r>
        <w:rPr>
          <w:rFonts w:ascii="宋体" w:hAnsi="宋体" w:eastAsia="宋体" w:cs="宋体"/>
          <w:sz w:val="24"/>
          <w:szCs w:val="24"/>
        </w:rPr>
        <w:drawing>
          <wp:anchor distT="0" distB="0" distL="114300" distR="114300" simplePos="0" relativeHeight="251674624" behindDoc="0" locked="0" layoutInCell="1" allowOverlap="1">
            <wp:simplePos x="0" y="0"/>
            <wp:positionH relativeFrom="column">
              <wp:posOffset>52705</wp:posOffset>
            </wp:positionH>
            <wp:positionV relativeFrom="paragraph">
              <wp:posOffset>525145</wp:posOffset>
            </wp:positionV>
            <wp:extent cx="5753735" cy="3621405"/>
            <wp:effectExtent l="0" t="0" r="6985" b="5715"/>
            <wp:wrapTopAndBottom/>
            <wp:docPr id="16"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IMG_256"/>
                    <pic:cNvPicPr>
                      <a:picLocks noChangeAspect="1"/>
                    </pic:cNvPicPr>
                  </pic:nvPicPr>
                  <pic:blipFill>
                    <a:blip r:embed="rId25" r:link="rId26"/>
                    <a:stretch>
                      <a:fillRect/>
                    </a:stretch>
                  </pic:blipFill>
                  <pic:spPr>
                    <a:xfrm>
                      <a:off x="0" y="0"/>
                      <a:ext cx="5753735" cy="3621405"/>
                    </a:xfrm>
                    <a:prstGeom prst="rect">
                      <a:avLst/>
                    </a:prstGeom>
                    <a:noFill/>
                    <a:ln w="9525">
                      <a:noFill/>
                      <a:miter/>
                    </a:ln>
                  </pic:spPr>
                </pic:pic>
              </a:graphicData>
            </a:graphic>
          </wp:anchor>
        </w:drawing>
      </w:r>
    </w:p>
    <w:p>
      <w:pPr>
        <w:pStyle w:val="21"/>
        <w:keepNext w:val="0"/>
        <w:keepLines w:val="0"/>
        <w:pageBreakBefore w:val="0"/>
        <w:widowControl w:val="0"/>
        <w:kinsoku/>
        <w:wordWrap/>
        <w:overflowPunct/>
        <w:topLinePunct w:val="0"/>
        <w:autoSpaceDE/>
        <w:autoSpaceDN/>
        <w:bidi w:val="0"/>
        <w:adjustRightInd/>
        <w:snapToGrid/>
        <w:spacing w:line="560" w:lineRule="exact"/>
        <w:ind w:left="0" w:leftChars="0" w:firstLine="630" w:firstLineChars="300"/>
        <w:jc w:val="center"/>
        <w:textAlignment w:val="auto"/>
        <w:rPr>
          <w:rFonts w:hint="eastAsia"/>
          <w:lang w:val="en-US" w:eastAsia="zh-CN"/>
        </w:rPr>
      </w:pPr>
      <w:r>
        <w:t xml:space="preserve">图 </w:t>
      </w:r>
      <w:r>
        <w:fldChar w:fldCharType="begin"/>
      </w:r>
      <w:r>
        <w:instrText xml:space="preserve"> SEQ 图 \* ARABIC </w:instrText>
      </w:r>
      <w:r>
        <w:fldChar w:fldCharType="separate"/>
      </w:r>
      <w:r>
        <w:t>2</w:t>
      </w:r>
      <w:r>
        <w:fldChar w:fldCharType="end"/>
      </w:r>
      <w:bookmarkStart w:id="25" w:name="_Toc31065"/>
      <w:bookmarkStart w:id="26" w:name="_Toc17000"/>
      <w:bookmarkStart w:id="27" w:name="_Toc23113"/>
      <w:bookmarkStart w:id="28" w:name="_Toc1260"/>
      <w:bookmarkStart w:id="29" w:name="_Toc17736"/>
      <w:r>
        <w:rPr>
          <w:rFonts w:hint="eastAsia"/>
          <w:lang w:eastAsia="zh-CN"/>
        </w:rPr>
        <w:t>在涿鹿县第34届</w:t>
      </w:r>
      <w:bookmarkEnd w:id="25"/>
      <w:bookmarkEnd w:id="26"/>
      <w:r>
        <w:rPr>
          <w:rFonts w:hint="eastAsia"/>
          <w:lang w:val="en-US" w:eastAsia="zh-CN"/>
        </w:rPr>
        <w:t>中小学生田径运动会高中组荣获团体第一名</w:t>
      </w:r>
      <w:bookmarkEnd w:id="27"/>
      <w:bookmarkEnd w:id="28"/>
      <w:bookmarkEnd w:id="29"/>
    </w:p>
    <w:p>
      <w:pPr>
        <w:pStyle w:val="10"/>
        <w:jc w:val="center"/>
      </w:pPr>
    </w:p>
    <w:p>
      <w:pPr>
        <w:keepNext w:val="0"/>
        <w:keepLines w:val="0"/>
        <w:pageBreakBefore w:val="0"/>
        <w:widowControl w:val="0"/>
        <w:shd w:val="clear" w:fill="FFFFFF" w:themeFill="background1"/>
        <w:kinsoku/>
        <w:wordWrap/>
        <w:overflowPunct/>
        <w:topLinePunct w:val="0"/>
        <w:autoSpaceDE/>
        <w:autoSpaceDN/>
        <w:bidi w:val="0"/>
        <w:adjustRightInd/>
        <w:snapToGrid/>
        <w:spacing w:line="560" w:lineRule="exact"/>
        <w:ind w:right="0" w:rightChars="0" w:firstLine="640" w:firstLineChars="200"/>
        <w:jc w:val="left"/>
        <w:textAlignment w:val="auto"/>
        <w:rPr>
          <w:rFonts w:hint="eastAsia" w:ascii="Times New Roman" w:hAnsi="Times New Roman" w:eastAsia="仿宋_GB2312"/>
          <w:sz w:val="32"/>
          <w:szCs w:val="32"/>
          <w:lang w:val="en-US" w:eastAsia="zh-CN"/>
        </w:rPr>
      </w:pPr>
      <w:r>
        <w:rPr>
          <w:rFonts w:hint="default" w:ascii="Times New Roman" w:hAnsi="Times New Roman" w:eastAsia="仿宋_GB2312"/>
          <w:sz w:val="32"/>
          <w:szCs w:val="32"/>
          <w:lang w:val="en-US" w:eastAsia="zh-CN"/>
        </w:rPr>
        <w:t>3</w:t>
      </w:r>
      <w:bookmarkStart w:id="30" w:name="_Toc14850"/>
      <w:r>
        <w:rPr>
          <w:rFonts w:hint="default" w:ascii="Times New Roman" w:hAnsi="Times New Roman" w:eastAsia="仿宋_GB2312"/>
          <w:sz w:val="32"/>
          <w:szCs w:val="32"/>
          <w:lang w:val="en-US" w:eastAsia="zh-CN"/>
        </w:rPr>
        <w:t>.</w:t>
      </w:r>
      <w:r>
        <w:rPr>
          <w:rFonts w:hint="eastAsia" w:ascii="Times New Roman" w:hAnsi="Times New Roman" w:eastAsia="仿宋_GB2312"/>
          <w:sz w:val="32"/>
          <w:szCs w:val="32"/>
          <w:lang w:val="en-US" w:eastAsia="zh-CN"/>
        </w:rPr>
        <w:t>就业质量</w:t>
      </w:r>
      <w:bookmarkEnd w:id="3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kern w:val="2"/>
          <w:sz w:val="32"/>
          <w:szCs w:val="32"/>
          <w:lang w:val="en-US" w:eastAsia="zh-CN"/>
        </w:rPr>
      </w:pPr>
      <w:r>
        <w:rPr>
          <w:rFonts w:hint="eastAsia" w:ascii="仿宋" w:hAnsi="仿宋" w:eastAsia="仿宋" w:cs="仿宋"/>
          <w:sz w:val="32"/>
          <w:szCs w:val="32"/>
          <w:lang w:val="en-US" w:eastAsia="zh-CN"/>
        </w:rPr>
        <w:t>学校拥有省批备案的技能鉴定站。鉴定站严格履行鉴定职能，落实1+X证书获取制度，保证每位学生都能持有双证或多证毕业。</w:t>
      </w:r>
      <w:r>
        <w:rPr>
          <w:rFonts w:hint="default" w:ascii="仿宋" w:hAnsi="仿宋" w:eastAsia="仿宋" w:cs="仿宋"/>
          <w:sz w:val="32"/>
          <w:szCs w:val="32"/>
          <w:lang w:val="en-US" w:eastAsia="zh-CN"/>
        </w:rPr>
        <w:t>2024</w:t>
      </w:r>
      <w:r>
        <w:rPr>
          <w:rFonts w:hint="eastAsia" w:ascii="仿宋" w:hAnsi="仿宋" w:eastAsia="仿宋" w:cs="仿宋"/>
          <w:sz w:val="32"/>
          <w:szCs w:val="32"/>
          <w:lang w:val="en-US" w:eastAsia="zh-CN"/>
        </w:rPr>
        <w:t>年共组织230人参加认定，职业工种为打字员195人，钳工35人。</w:t>
      </w:r>
    </w:p>
    <w:p>
      <w:pPr>
        <w:pStyle w:val="21"/>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在就业学生中，进入各类所有制企业单位的学生人数为</w:t>
      </w:r>
      <w:r>
        <w:rPr>
          <w:rFonts w:hint="default" w:ascii="仿宋" w:hAnsi="仿宋" w:eastAsia="仿宋" w:cs="仿宋"/>
          <w:sz w:val="32"/>
          <w:szCs w:val="32"/>
          <w:lang w:val="en-US" w:eastAsia="zh-CN"/>
        </w:rPr>
        <w:t>415</w:t>
      </w:r>
      <w:r>
        <w:rPr>
          <w:rFonts w:hint="eastAsia" w:ascii="仿宋" w:hAnsi="仿宋" w:eastAsia="仿宋" w:cs="仿宋"/>
          <w:sz w:val="32"/>
          <w:szCs w:val="32"/>
        </w:rPr>
        <w:t>人，占毕业学生比例为</w:t>
      </w:r>
      <w:r>
        <w:rPr>
          <w:rFonts w:hint="default" w:ascii="仿宋" w:hAnsi="仿宋" w:eastAsia="仿宋" w:cs="仿宋"/>
          <w:sz w:val="32"/>
          <w:szCs w:val="32"/>
          <w:lang w:val="en-US"/>
        </w:rPr>
        <w:t>59.12</w:t>
      </w:r>
      <w:r>
        <w:rPr>
          <w:rFonts w:hint="eastAsia" w:ascii="仿宋" w:hAnsi="仿宋" w:eastAsia="仿宋" w:cs="仿宋"/>
          <w:sz w:val="32"/>
          <w:szCs w:val="32"/>
        </w:rPr>
        <w:t>%；从事第一产业的毕业生数为</w:t>
      </w:r>
      <w:r>
        <w:rPr>
          <w:rFonts w:hint="default" w:ascii="仿宋" w:hAnsi="仿宋" w:eastAsia="仿宋" w:cs="仿宋"/>
          <w:sz w:val="32"/>
          <w:szCs w:val="32"/>
          <w:lang w:val="en-US" w:eastAsia="zh-CN"/>
        </w:rPr>
        <w:t>31</w:t>
      </w:r>
      <w:r>
        <w:rPr>
          <w:rFonts w:hint="eastAsia" w:ascii="仿宋" w:hAnsi="仿宋" w:eastAsia="仿宋" w:cs="仿宋"/>
          <w:sz w:val="32"/>
          <w:szCs w:val="32"/>
        </w:rPr>
        <w:t>人，占就业学生数的</w:t>
      </w:r>
      <w:r>
        <w:rPr>
          <w:rFonts w:hint="default" w:ascii="仿宋" w:hAnsi="仿宋" w:eastAsia="仿宋" w:cs="仿宋"/>
          <w:sz w:val="32"/>
          <w:szCs w:val="32"/>
          <w:lang w:val="en-US" w:eastAsia="zh-CN"/>
        </w:rPr>
        <w:t>7.47</w:t>
      </w:r>
      <w:r>
        <w:rPr>
          <w:rFonts w:hint="eastAsia" w:ascii="仿宋" w:hAnsi="仿宋" w:eastAsia="仿宋" w:cs="仿宋"/>
          <w:sz w:val="32"/>
          <w:szCs w:val="32"/>
        </w:rPr>
        <w:t>%；从事第二产业的毕业生数为</w:t>
      </w:r>
      <w:r>
        <w:rPr>
          <w:rFonts w:hint="default" w:ascii="仿宋" w:hAnsi="仿宋" w:eastAsia="仿宋" w:cs="仿宋"/>
          <w:sz w:val="32"/>
          <w:szCs w:val="32"/>
          <w:lang w:val="en-US" w:eastAsia="zh-CN"/>
        </w:rPr>
        <w:t>40</w:t>
      </w:r>
      <w:r>
        <w:rPr>
          <w:rFonts w:hint="eastAsia" w:ascii="仿宋" w:hAnsi="仿宋" w:eastAsia="仿宋" w:cs="仿宋"/>
          <w:sz w:val="32"/>
          <w:szCs w:val="32"/>
        </w:rPr>
        <w:t>人，占就业学生数的</w:t>
      </w:r>
      <w:r>
        <w:rPr>
          <w:rFonts w:hint="default" w:ascii="仿宋" w:hAnsi="仿宋" w:eastAsia="仿宋" w:cs="仿宋"/>
          <w:sz w:val="32"/>
          <w:szCs w:val="32"/>
          <w:lang w:val="en-US"/>
        </w:rPr>
        <w:t>9</w:t>
      </w:r>
      <w:r>
        <w:rPr>
          <w:rFonts w:hint="default" w:ascii="仿宋" w:hAnsi="仿宋" w:eastAsia="仿宋" w:cs="仿宋"/>
          <w:sz w:val="32"/>
          <w:szCs w:val="32"/>
          <w:lang w:val="en-US" w:eastAsia="zh-CN"/>
        </w:rPr>
        <w:t>.64</w:t>
      </w:r>
      <w:r>
        <w:rPr>
          <w:rFonts w:hint="eastAsia" w:ascii="仿宋" w:hAnsi="仿宋" w:eastAsia="仿宋" w:cs="仿宋"/>
          <w:sz w:val="32"/>
          <w:szCs w:val="32"/>
        </w:rPr>
        <w:t>%；从事第三产业的毕业生数为</w:t>
      </w:r>
      <w:r>
        <w:rPr>
          <w:rFonts w:hint="default" w:ascii="仿宋" w:hAnsi="仿宋" w:eastAsia="仿宋" w:cs="仿宋"/>
          <w:sz w:val="32"/>
          <w:szCs w:val="32"/>
          <w:lang w:val="en-US" w:eastAsia="zh-CN"/>
        </w:rPr>
        <w:t>344</w:t>
      </w:r>
      <w:r>
        <w:rPr>
          <w:rFonts w:hint="eastAsia" w:ascii="仿宋" w:hAnsi="仿宋" w:eastAsia="仿宋" w:cs="仿宋"/>
          <w:sz w:val="32"/>
          <w:szCs w:val="32"/>
        </w:rPr>
        <w:t>人，占就业学生数的</w:t>
      </w:r>
      <w:r>
        <w:rPr>
          <w:rFonts w:hint="default" w:ascii="仿宋" w:hAnsi="仿宋" w:eastAsia="仿宋" w:cs="仿宋"/>
          <w:sz w:val="32"/>
          <w:szCs w:val="32"/>
          <w:lang w:val="en-US" w:eastAsia="zh-CN"/>
        </w:rPr>
        <w:t>82.89</w:t>
      </w:r>
      <w:r>
        <w:rPr>
          <w:rFonts w:hint="eastAsia" w:ascii="仿宋" w:hAnsi="仿宋" w:eastAsia="仿宋" w:cs="仿宋"/>
          <w:sz w:val="32"/>
          <w:szCs w:val="32"/>
        </w:rPr>
        <w:t>%。本地、异地就业情况：在本地就业的毕业生数为</w:t>
      </w:r>
      <w:r>
        <w:rPr>
          <w:rFonts w:hint="eastAsia" w:ascii="仿宋" w:hAnsi="仿宋" w:eastAsia="仿宋" w:cs="仿宋"/>
          <w:sz w:val="32"/>
          <w:szCs w:val="32"/>
          <w:lang w:val="en-US" w:eastAsia="zh-CN"/>
        </w:rPr>
        <w:t>73</w:t>
      </w:r>
      <w:r>
        <w:rPr>
          <w:rFonts w:hint="eastAsia" w:ascii="仿宋" w:hAnsi="仿宋" w:eastAsia="仿宋" w:cs="仿宋"/>
          <w:sz w:val="32"/>
          <w:szCs w:val="32"/>
        </w:rPr>
        <w:t>人，占就业学生数的</w:t>
      </w:r>
      <w:r>
        <w:rPr>
          <w:rFonts w:hint="eastAsia" w:ascii="仿宋" w:hAnsi="仿宋" w:eastAsia="仿宋" w:cs="仿宋"/>
          <w:sz w:val="32"/>
          <w:szCs w:val="32"/>
          <w:lang w:val="en-US" w:eastAsia="zh-CN"/>
        </w:rPr>
        <w:t>1</w:t>
      </w:r>
      <w:r>
        <w:rPr>
          <w:rFonts w:hint="default" w:ascii="仿宋" w:hAnsi="仿宋" w:eastAsia="仿宋" w:cs="仿宋"/>
          <w:sz w:val="32"/>
          <w:szCs w:val="32"/>
          <w:lang w:val="en-US" w:eastAsia="zh-CN"/>
        </w:rPr>
        <w:t>7</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59</w:t>
      </w:r>
      <w:r>
        <w:rPr>
          <w:rFonts w:hint="eastAsia" w:ascii="仿宋" w:hAnsi="仿宋" w:eastAsia="仿宋" w:cs="仿宋"/>
          <w:sz w:val="32"/>
          <w:szCs w:val="32"/>
        </w:rPr>
        <w:t>%；到异地就业的毕业生数为</w:t>
      </w:r>
      <w:r>
        <w:rPr>
          <w:rFonts w:hint="default" w:ascii="仿宋" w:hAnsi="仿宋" w:eastAsia="仿宋" w:cs="仿宋"/>
          <w:sz w:val="32"/>
          <w:szCs w:val="32"/>
          <w:lang w:val="en-US" w:eastAsia="zh-CN"/>
        </w:rPr>
        <w:t>342</w:t>
      </w:r>
      <w:r>
        <w:rPr>
          <w:rFonts w:hint="eastAsia" w:ascii="仿宋" w:hAnsi="仿宋" w:eastAsia="仿宋" w:cs="仿宋"/>
          <w:sz w:val="32"/>
          <w:szCs w:val="32"/>
        </w:rPr>
        <w:t>人，占就业学生数的</w:t>
      </w:r>
      <w:r>
        <w:rPr>
          <w:rFonts w:hint="default" w:ascii="仿宋" w:hAnsi="仿宋" w:eastAsia="仿宋" w:cs="仿宋"/>
          <w:sz w:val="32"/>
          <w:szCs w:val="32"/>
          <w:lang w:val="en-US"/>
        </w:rPr>
        <w:t>82.41</w:t>
      </w:r>
      <w:r>
        <w:rPr>
          <w:rFonts w:hint="eastAsia" w:ascii="仿宋" w:hAnsi="仿宋" w:eastAsia="仿宋" w:cs="仿宋"/>
          <w:sz w:val="32"/>
          <w:szCs w:val="32"/>
        </w:rPr>
        <w:t>%。就业渠道情况：通过学校推荐就业的毕业生数为</w:t>
      </w:r>
      <w:r>
        <w:rPr>
          <w:rFonts w:hint="eastAsia" w:ascii="仿宋" w:hAnsi="仿宋" w:eastAsia="仿宋" w:cs="仿宋"/>
          <w:sz w:val="32"/>
          <w:szCs w:val="32"/>
          <w:lang w:val="en-US" w:eastAsia="zh-CN"/>
        </w:rPr>
        <w:t>4</w:t>
      </w:r>
      <w:r>
        <w:rPr>
          <w:rFonts w:hint="default" w:ascii="仿宋" w:hAnsi="仿宋" w:eastAsia="仿宋" w:cs="仿宋"/>
          <w:sz w:val="32"/>
          <w:szCs w:val="32"/>
          <w:lang w:val="en-US" w:eastAsia="zh-CN"/>
        </w:rPr>
        <w:t>0</w:t>
      </w:r>
      <w:r>
        <w:rPr>
          <w:rFonts w:hint="eastAsia" w:ascii="仿宋" w:hAnsi="仿宋" w:eastAsia="仿宋" w:cs="仿宋"/>
          <w:sz w:val="32"/>
          <w:szCs w:val="32"/>
          <w:lang w:val="en-US" w:eastAsia="zh-CN"/>
        </w:rPr>
        <w:t>9</w:t>
      </w:r>
      <w:r>
        <w:rPr>
          <w:rFonts w:hint="eastAsia" w:ascii="仿宋" w:hAnsi="仿宋" w:eastAsia="仿宋" w:cs="仿宋"/>
          <w:sz w:val="32"/>
          <w:szCs w:val="32"/>
        </w:rPr>
        <w:t>人，占就业学生数的</w:t>
      </w:r>
      <w:r>
        <w:rPr>
          <w:rFonts w:hint="default" w:ascii="仿宋" w:hAnsi="仿宋" w:eastAsia="仿宋" w:cs="仿宋"/>
          <w:sz w:val="32"/>
          <w:szCs w:val="32"/>
          <w:lang w:val="en-US"/>
        </w:rPr>
        <w:t>98.55</w:t>
      </w:r>
      <w:r>
        <w:rPr>
          <w:rFonts w:hint="eastAsia" w:ascii="仿宋" w:hAnsi="仿宋" w:eastAsia="仿宋" w:cs="仿宋"/>
          <w:sz w:val="32"/>
          <w:szCs w:val="32"/>
        </w:rPr>
        <w:t>%；通过中介介绍就业的毕业生数为0人，占就业学生数的0%；其他渠道就业的毕业生数为</w:t>
      </w:r>
      <w:r>
        <w:rPr>
          <w:rFonts w:hint="default" w:ascii="仿宋" w:hAnsi="仿宋" w:eastAsia="仿宋" w:cs="仿宋"/>
          <w:sz w:val="32"/>
          <w:szCs w:val="32"/>
          <w:lang w:val="en-US" w:eastAsia="zh-CN"/>
        </w:rPr>
        <w:t>6</w:t>
      </w:r>
      <w:r>
        <w:rPr>
          <w:rFonts w:hint="eastAsia" w:ascii="仿宋" w:hAnsi="仿宋" w:eastAsia="仿宋" w:cs="仿宋"/>
          <w:sz w:val="32"/>
          <w:szCs w:val="32"/>
        </w:rPr>
        <w:t>人，占就业学生数的</w:t>
      </w:r>
      <w:r>
        <w:rPr>
          <w:rFonts w:hint="default" w:ascii="仿宋" w:hAnsi="仿宋" w:eastAsia="仿宋" w:cs="仿宋"/>
          <w:sz w:val="32"/>
          <w:szCs w:val="32"/>
          <w:lang w:val="en-US" w:eastAsia="zh-CN"/>
        </w:rPr>
        <w:t>1.45</w:t>
      </w:r>
      <w:r>
        <w:rPr>
          <w:rFonts w:hint="eastAsia" w:ascii="仿宋" w:hAnsi="仿宋" w:eastAsia="仿宋" w:cs="仿宋"/>
          <w:sz w:val="32"/>
          <w:szCs w:val="32"/>
        </w:rPr>
        <w:t>%。</w:t>
      </w:r>
    </w:p>
    <w:p>
      <w:r>
        <w:drawing>
          <wp:inline distT="0" distB="0" distL="114300" distR="114300">
            <wp:extent cx="5173980" cy="2279015"/>
            <wp:effectExtent l="0" t="0" r="7620" b="6985"/>
            <wp:docPr id="19" name="图片 19" descr="d5089c9d06bb67478b6b8795d6bea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5089c9d06bb67478b6b8795d6bea0a"/>
                    <pic:cNvPicPr>
                      <a:picLocks noChangeAspect="1"/>
                    </pic:cNvPicPr>
                  </pic:nvPicPr>
                  <pic:blipFill>
                    <a:blip r:embed="rId27"/>
                    <a:stretch>
                      <a:fillRect/>
                    </a:stretch>
                  </pic:blipFill>
                  <pic:spPr>
                    <a:xfrm>
                      <a:off x="0" y="0"/>
                      <a:ext cx="5173980" cy="2279015"/>
                    </a:xfrm>
                    <a:prstGeom prst="rect">
                      <a:avLst/>
                    </a:prstGeom>
                  </pic:spPr>
                </pic:pic>
              </a:graphicData>
            </a:graphic>
          </wp:inline>
        </w:drawing>
      </w:r>
    </w:p>
    <w:p>
      <w:pPr>
        <w:pStyle w:val="10"/>
        <w:jc w:val="center"/>
        <w:rPr>
          <w:rFonts w:hint="default"/>
          <w:lang w:val="en-US" w:eastAsia="zh-CN"/>
        </w:rPr>
      </w:pPr>
      <w:r>
        <w:t xml:space="preserve">表 </w:t>
      </w:r>
      <w:r>
        <w:fldChar w:fldCharType="begin"/>
      </w:r>
      <w:r>
        <w:instrText xml:space="preserve"> SEQ 表 \* ARABIC </w:instrText>
      </w:r>
      <w:r>
        <w:fldChar w:fldCharType="separate"/>
      </w:r>
      <w:r>
        <w:t>4</w:t>
      </w:r>
      <w:r>
        <w:fldChar w:fldCharType="end"/>
      </w:r>
      <w:bookmarkStart w:id="31" w:name="_Toc6237"/>
      <w:bookmarkStart w:id="32" w:name="_Toc15339"/>
      <w:bookmarkStart w:id="33" w:name="_Toc28713"/>
      <w:r>
        <w:rPr>
          <w:rFonts w:hint="eastAsia"/>
          <w:lang w:eastAsia="zh-CN"/>
        </w:rPr>
        <w:t>人才培养数据分析图</w:t>
      </w:r>
      <w:bookmarkEnd w:id="31"/>
      <w:bookmarkEnd w:id="32"/>
      <w:bookmarkEnd w:id="33"/>
      <w:bookmarkStart w:id="34" w:name="_Toc18536"/>
      <w:bookmarkEnd w:id="34"/>
    </w:p>
    <w:p>
      <w:pPr>
        <w:pStyle w:val="10"/>
        <w:keepNext w:val="0"/>
        <w:keepLines w:val="0"/>
        <w:pageBreakBefore w:val="0"/>
        <w:widowControl w:val="0"/>
        <w:kinsoku/>
        <w:wordWrap/>
        <w:overflowPunct/>
        <w:topLinePunct w:val="0"/>
        <w:autoSpaceDE/>
        <w:autoSpaceDN/>
        <w:bidi w:val="0"/>
        <w:adjustRightInd/>
        <w:snapToGrid/>
        <w:spacing w:line="560" w:lineRule="exact"/>
        <w:ind w:left="0" w:leftChars="0" w:firstLine="482" w:firstLineChars="200"/>
        <w:jc w:val="left"/>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 xml:space="preserve">典型案例 </w:t>
      </w:r>
      <w:r>
        <w:rPr>
          <w:rFonts w:hint="eastAsia" w:ascii="仿宋" w:hAnsi="仿宋" w:eastAsia="仿宋" w:cs="仿宋"/>
          <w:b/>
          <w:bCs/>
          <w:kern w:val="2"/>
          <w:sz w:val="24"/>
          <w:szCs w:val="24"/>
          <w:lang w:val="en-US" w:eastAsia="zh-CN" w:bidi="ar-SA"/>
        </w:rPr>
        <w:fldChar w:fldCharType="begin"/>
      </w:r>
      <w:r>
        <w:rPr>
          <w:rFonts w:hint="eastAsia" w:ascii="仿宋" w:hAnsi="仿宋" w:eastAsia="仿宋" w:cs="仿宋"/>
          <w:b/>
          <w:bCs/>
          <w:kern w:val="2"/>
          <w:sz w:val="24"/>
          <w:szCs w:val="24"/>
          <w:lang w:val="en-US" w:eastAsia="zh-CN" w:bidi="ar-SA"/>
        </w:rPr>
        <w:instrText xml:space="preserve"> SEQ 典型案例 \* ARABIC </w:instrText>
      </w:r>
      <w:r>
        <w:rPr>
          <w:rFonts w:hint="eastAsia" w:ascii="仿宋" w:hAnsi="仿宋" w:eastAsia="仿宋" w:cs="仿宋"/>
          <w:b/>
          <w:bCs/>
          <w:kern w:val="2"/>
          <w:sz w:val="24"/>
          <w:szCs w:val="24"/>
          <w:lang w:val="en-US" w:eastAsia="zh-CN" w:bidi="ar-SA"/>
        </w:rPr>
        <w:fldChar w:fldCharType="separate"/>
      </w:r>
      <w:r>
        <w:rPr>
          <w:rFonts w:hint="eastAsia" w:ascii="仿宋" w:hAnsi="仿宋" w:eastAsia="仿宋" w:cs="仿宋"/>
          <w:b/>
          <w:bCs/>
          <w:kern w:val="2"/>
          <w:sz w:val="24"/>
          <w:szCs w:val="24"/>
          <w:lang w:val="en-US" w:eastAsia="zh-CN" w:bidi="ar-SA"/>
        </w:rPr>
        <w:t>1</w:t>
      </w:r>
      <w:r>
        <w:rPr>
          <w:rFonts w:hint="eastAsia" w:ascii="仿宋" w:hAnsi="仿宋" w:eastAsia="仿宋" w:cs="仿宋"/>
          <w:b/>
          <w:bCs/>
          <w:kern w:val="2"/>
          <w:sz w:val="24"/>
          <w:szCs w:val="24"/>
          <w:lang w:val="en-US" w:eastAsia="zh-CN" w:bidi="ar-SA"/>
        </w:rPr>
        <w:fldChar w:fldCharType="end"/>
      </w:r>
      <w:bookmarkStart w:id="35" w:name="_Toc954"/>
      <w:bookmarkEnd w:id="35"/>
      <w:bookmarkStart w:id="36" w:name="_Toc22558"/>
      <w:bookmarkEnd w:id="36"/>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优秀毕业生典型案例</w:t>
      </w:r>
    </w:p>
    <w:p>
      <w:pPr>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张生凯，男，</w:t>
      </w:r>
      <w:r>
        <w:rPr>
          <w:rFonts w:hint="default" w:ascii="仿宋" w:hAnsi="仿宋" w:eastAsia="仿宋" w:cs="仿宋"/>
          <w:kern w:val="2"/>
          <w:sz w:val="32"/>
          <w:szCs w:val="32"/>
          <w:lang w:val="en-US" w:eastAsia="zh-CN" w:bidi="ar-SA"/>
        </w:rPr>
        <w:t>2006</w:t>
      </w:r>
      <w:r>
        <w:rPr>
          <w:rFonts w:hint="eastAsia" w:ascii="仿宋" w:hAnsi="仿宋" w:eastAsia="仿宋" w:cs="仿宋"/>
          <w:kern w:val="2"/>
          <w:sz w:val="32"/>
          <w:szCs w:val="32"/>
          <w:lang w:val="en-US" w:eastAsia="zh-CN" w:bidi="ar-SA"/>
        </w:rPr>
        <w:t xml:space="preserve">年 </w:t>
      </w:r>
      <w:r>
        <w:rPr>
          <w:rFonts w:hint="default" w:ascii="仿宋" w:hAnsi="仿宋" w:eastAsia="仿宋" w:cs="仿宋"/>
          <w:kern w:val="2"/>
          <w:sz w:val="32"/>
          <w:szCs w:val="32"/>
          <w:lang w:val="en-US" w:eastAsia="zh-CN" w:bidi="ar-SA"/>
        </w:rPr>
        <w:t>1</w:t>
      </w:r>
      <w:r>
        <w:rPr>
          <w:rFonts w:hint="eastAsia" w:ascii="仿宋" w:hAnsi="仿宋" w:eastAsia="仿宋" w:cs="仿宋"/>
          <w:kern w:val="2"/>
          <w:sz w:val="32"/>
          <w:szCs w:val="32"/>
          <w:lang w:val="en-US" w:eastAsia="zh-CN" w:bidi="ar-SA"/>
        </w:rPr>
        <w:t>月出生，团员，20</w:t>
      </w:r>
      <w:r>
        <w:rPr>
          <w:rFonts w:hint="default" w:ascii="仿宋" w:hAnsi="仿宋" w:eastAsia="仿宋" w:cs="仿宋"/>
          <w:kern w:val="2"/>
          <w:sz w:val="32"/>
          <w:szCs w:val="32"/>
          <w:lang w:val="en-US" w:eastAsia="zh-CN" w:bidi="ar-SA"/>
        </w:rPr>
        <w:t>21</w:t>
      </w:r>
      <w:r>
        <w:rPr>
          <w:rFonts w:hint="eastAsia" w:ascii="仿宋" w:hAnsi="仿宋" w:eastAsia="仿宋" w:cs="仿宋"/>
          <w:kern w:val="2"/>
          <w:sz w:val="32"/>
          <w:szCs w:val="32"/>
          <w:lang w:val="en-US" w:eastAsia="zh-CN" w:bidi="ar-SA"/>
        </w:rPr>
        <w:t>年</w:t>
      </w:r>
      <w:r>
        <w:rPr>
          <w:rFonts w:hint="default" w:ascii="仿宋" w:hAnsi="仿宋" w:eastAsia="仿宋" w:cs="仿宋"/>
          <w:kern w:val="2"/>
          <w:sz w:val="32"/>
          <w:szCs w:val="32"/>
          <w:lang w:val="en-US" w:eastAsia="zh-CN" w:bidi="ar-SA"/>
        </w:rPr>
        <w:t>9</w:t>
      </w:r>
      <w:r>
        <w:rPr>
          <w:rFonts w:hint="eastAsia" w:ascii="仿宋" w:hAnsi="仿宋" w:eastAsia="仿宋" w:cs="仿宋"/>
          <w:kern w:val="2"/>
          <w:sz w:val="32"/>
          <w:szCs w:val="32"/>
          <w:lang w:val="en-US" w:eastAsia="zh-CN" w:bidi="ar-SA"/>
        </w:rPr>
        <w:t>月至</w:t>
      </w:r>
      <w:r>
        <w:rPr>
          <w:rFonts w:hint="default" w:ascii="仿宋" w:hAnsi="仿宋" w:eastAsia="仿宋" w:cs="仿宋"/>
          <w:kern w:val="2"/>
          <w:sz w:val="32"/>
          <w:szCs w:val="32"/>
          <w:lang w:val="en-US" w:eastAsia="zh-CN" w:bidi="ar-SA"/>
        </w:rPr>
        <w:t>2024</w:t>
      </w:r>
      <w:r>
        <w:rPr>
          <w:rFonts w:hint="eastAsia" w:ascii="仿宋" w:hAnsi="仿宋" w:eastAsia="仿宋" w:cs="仿宋"/>
          <w:kern w:val="2"/>
          <w:sz w:val="32"/>
          <w:szCs w:val="32"/>
          <w:lang w:val="en-US" w:eastAsia="zh-CN" w:bidi="ar-SA"/>
        </w:rPr>
        <w:t>年</w:t>
      </w:r>
      <w:r>
        <w:rPr>
          <w:rFonts w:hint="default" w:ascii="仿宋" w:hAnsi="仿宋" w:eastAsia="仿宋" w:cs="仿宋"/>
          <w:kern w:val="2"/>
          <w:sz w:val="32"/>
          <w:szCs w:val="32"/>
          <w:lang w:val="en-US" w:eastAsia="zh-CN" w:bidi="ar-SA"/>
        </w:rPr>
        <w:t>6</w:t>
      </w:r>
      <w:r>
        <w:rPr>
          <w:rFonts w:hint="eastAsia" w:ascii="仿宋" w:hAnsi="仿宋" w:eastAsia="仿宋" w:cs="仿宋"/>
          <w:kern w:val="2"/>
          <w:sz w:val="32"/>
          <w:szCs w:val="32"/>
          <w:lang w:val="en-US" w:eastAsia="zh-CN" w:bidi="ar-SA"/>
        </w:rPr>
        <w:t>月在该校社会文化艺术专业学习。在校期间，担任班长一职，工作认真，兢兢业业，能力强，各方面表现优异。张生凯是学校竞技体育的主力队员，多次代表学校参加省级、市级比赛，并多次获得优异成绩。</w:t>
      </w:r>
    </w:p>
    <w:p>
      <w:pPr>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作为竞技体育专业的学生，在校三年，他的成绩一直保持优秀，工作或生活上都本着“德高体健、技硬能强”的校训，时刻严格要求自己，鼓励自己勇往直前，不怕艰辛不怕困苦，向自己的目标迈进。特别在体育专业上，他具备牢固的专业理论知识。在田径等方面更为突出，是一个全面发展的学生。在校期间考取了二级运动员证书。在河北省青少年田径锦标赛，获得</w:t>
      </w:r>
      <w:r>
        <w:rPr>
          <w:rFonts w:hint="default" w:ascii="仿宋" w:hAnsi="仿宋" w:eastAsia="仿宋" w:cs="仿宋"/>
          <w:kern w:val="2"/>
          <w:sz w:val="32"/>
          <w:szCs w:val="32"/>
          <w:lang w:val="en-US" w:eastAsia="zh-CN" w:bidi="ar-SA"/>
        </w:rPr>
        <w:t>100</w:t>
      </w:r>
      <w:r>
        <w:rPr>
          <w:rFonts w:hint="eastAsia" w:ascii="仿宋" w:hAnsi="仿宋" w:eastAsia="仿宋" w:cs="仿宋"/>
          <w:kern w:val="2"/>
          <w:sz w:val="32"/>
          <w:szCs w:val="32"/>
          <w:lang w:val="en-US" w:eastAsia="zh-CN" w:bidi="ar-SA"/>
        </w:rPr>
        <w:t>米小组第一名和</w:t>
      </w:r>
      <w:r>
        <w:rPr>
          <w:rFonts w:hint="default" w:ascii="仿宋" w:hAnsi="仿宋" w:eastAsia="仿宋" w:cs="仿宋"/>
          <w:kern w:val="2"/>
          <w:sz w:val="32"/>
          <w:szCs w:val="32"/>
          <w:lang w:val="en-US" w:eastAsia="zh-CN" w:bidi="ar-SA"/>
        </w:rPr>
        <w:t>200</w:t>
      </w:r>
      <w:r>
        <w:rPr>
          <w:rFonts w:hint="eastAsia" w:ascii="仿宋" w:hAnsi="仿宋" w:eastAsia="仿宋" w:cs="仿宋"/>
          <w:kern w:val="2"/>
          <w:sz w:val="32"/>
          <w:szCs w:val="32"/>
          <w:lang w:val="en-US" w:eastAsia="zh-CN" w:bidi="ar-SA"/>
        </w:rPr>
        <w:t>米小组第一名的优异成绩。</w:t>
      </w:r>
    </w:p>
    <w:p>
      <w:pPr>
        <w:pStyle w:val="21"/>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center"/>
        <w:textAlignment w:val="auto"/>
        <w:rPr>
          <w:rFonts w:hint="default" w:ascii="仿宋" w:hAnsi="仿宋" w:eastAsia="仿宋" w:cs="仿宋"/>
          <w:kern w:val="2"/>
          <w:sz w:val="24"/>
          <w:szCs w:val="24"/>
          <w:lang w:val="en-US" w:eastAsia="zh-CN" w:bidi="ar-SA"/>
        </w:rPr>
      </w:pPr>
      <w:r>
        <w:rPr>
          <w:rFonts w:hint="default" w:ascii="仿宋_GB2312" w:hAnsi="仿宋_GB2312" w:eastAsia="仿宋_GB2312" w:cs="仿宋_GB2312"/>
          <w:sz w:val="32"/>
          <w:szCs w:val="32"/>
          <w:lang w:val="en-US" w:eastAsia="zh-CN"/>
        </w:rPr>
        <w:drawing>
          <wp:anchor distT="0" distB="0" distL="114300" distR="114300" simplePos="0" relativeHeight="251666432" behindDoc="0" locked="0" layoutInCell="1" allowOverlap="0">
            <wp:simplePos x="0" y="0"/>
            <wp:positionH relativeFrom="page">
              <wp:posOffset>703580</wp:posOffset>
            </wp:positionH>
            <wp:positionV relativeFrom="paragraph">
              <wp:posOffset>18415</wp:posOffset>
            </wp:positionV>
            <wp:extent cx="5531485" cy="2762885"/>
            <wp:effectExtent l="0" t="0" r="12700" b="18415"/>
            <wp:wrapTopAndBottom/>
            <wp:docPr id="5" name="图片 5" descr="3ce04f90f0c83580a9eb60c636646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ce04f90f0c83580a9eb60c636646ac"/>
                    <pic:cNvPicPr>
                      <a:picLocks noChangeAspect="1"/>
                    </pic:cNvPicPr>
                  </pic:nvPicPr>
                  <pic:blipFill>
                    <a:blip r:embed="rId28"/>
                    <a:srcRect l="-11072" t="-549" r="11072" b="549"/>
                    <a:stretch>
                      <a:fillRect/>
                    </a:stretch>
                  </pic:blipFill>
                  <pic:spPr>
                    <a:xfrm>
                      <a:off x="0" y="0"/>
                      <a:ext cx="5531485" cy="2762885"/>
                    </a:xfrm>
                    <a:prstGeom prst="rect">
                      <a:avLst/>
                    </a:prstGeom>
                  </pic:spPr>
                </pic:pic>
              </a:graphicData>
            </a:graphic>
          </wp:anchor>
        </w:drawing>
      </w:r>
      <w:r>
        <w:rPr>
          <w:rFonts w:hint="eastAsia" w:ascii="仿宋" w:hAnsi="仿宋" w:eastAsia="仿宋" w:cs="仿宋"/>
          <w:kern w:val="2"/>
          <w:sz w:val="24"/>
          <w:szCs w:val="24"/>
          <w:lang w:val="en-US" w:eastAsia="zh-CN" w:bidi="ar-SA"/>
        </w:rPr>
        <w:t xml:space="preserve">图 </w:t>
      </w:r>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 SEQ 图 \* ARABIC </w:instrText>
      </w:r>
      <w:r>
        <w:rPr>
          <w:rFonts w:hint="eastAsia" w:ascii="仿宋" w:hAnsi="仿宋" w:eastAsia="仿宋" w:cs="仿宋"/>
          <w:kern w:val="2"/>
          <w:sz w:val="24"/>
          <w:szCs w:val="24"/>
          <w:lang w:val="en-US" w:eastAsia="zh-CN" w:bidi="ar-SA"/>
        </w:rPr>
        <w:fldChar w:fldCharType="separate"/>
      </w:r>
      <w:r>
        <w:rPr>
          <w:rFonts w:hint="eastAsia" w:ascii="仿宋" w:hAnsi="仿宋" w:eastAsia="仿宋" w:cs="仿宋"/>
          <w:kern w:val="2"/>
          <w:sz w:val="24"/>
          <w:szCs w:val="24"/>
          <w:lang w:val="en-US" w:eastAsia="zh-CN" w:bidi="ar-SA"/>
        </w:rPr>
        <w:t>3</w:t>
      </w:r>
      <w:r>
        <w:rPr>
          <w:rFonts w:hint="eastAsia" w:ascii="仿宋" w:hAnsi="仿宋" w:eastAsia="仿宋" w:cs="仿宋"/>
          <w:kern w:val="2"/>
          <w:sz w:val="24"/>
          <w:szCs w:val="24"/>
          <w:lang w:val="en-US" w:eastAsia="zh-CN" w:bidi="ar-SA"/>
        </w:rPr>
        <w:fldChar w:fldCharType="end"/>
      </w:r>
      <w:bookmarkStart w:id="37" w:name="_Toc29709"/>
      <w:bookmarkStart w:id="38" w:name="_Toc2152"/>
      <w:bookmarkStart w:id="39" w:name="_Toc19757"/>
      <w:bookmarkStart w:id="40" w:name="_Toc18816"/>
      <w:bookmarkStart w:id="41" w:name="_Toc30326"/>
      <w:r>
        <w:rPr>
          <w:rFonts w:hint="eastAsia" w:ascii="仿宋" w:hAnsi="仿宋" w:eastAsia="仿宋" w:cs="仿宋"/>
          <w:kern w:val="2"/>
          <w:sz w:val="24"/>
          <w:szCs w:val="24"/>
          <w:lang w:val="en-US" w:eastAsia="zh-CN" w:bidi="ar-SA"/>
        </w:rPr>
        <w:t>优秀毕业生张</w:t>
      </w:r>
      <w:bookmarkEnd w:id="37"/>
      <w:bookmarkEnd w:id="38"/>
      <w:r>
        <w:rPr>
          <w:rFonts w:hint="eastAsia" w:ascii="仿宋" w:hAnsi="仿宋" w:eastAsia="仿宋" w:cs="仿宋"/>
          <w:kern w:val="2"/>
          <w:sz w:val="24"/>
          <w:szCs w:val="24"/>
          <w:lang w:val="en-US" w:eastAsia="zh-CN" w:bidi="ar-SA"/>
        </w:rPr>
        <w:t>生凯</w:t>
      </w:r>
      <w:bookmarkEnd w:id="39"/>
      <w:bookmarkEnd w:id="40"/>
      <w:bookmarkEnd w:id="41"/>
    </w:p>
    <w:p>
      <w:pPr>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在思想方面，他积极参与学校组织的各类思想政治教育活动，努力提升自己的政治素养和思想觉悟。他深知作为一名体育专业的学生，不仅要注重体育技能的培养，更要注重思想品德的修养，努力成为一名既有体育技能又有高尚品德的复合型人才。</w:t>
      </w:r>
    </w:p>
    <w:p>
      <w:pPr>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在学习方面，他始终保持着对体育知识的热爱和追求。通过系统学习体育理论知识，对体育教育的本质和目的有了更为深刻的认识。同时，还积极参加各类体育实践活动，如县校运动会、省市田径比赛等，通过实践锻炼，不仅提高了自己的体育技能，还学会了如何将理论知识与实践相结合，更好地让自己参与体育教学活动。</w:t>
      </w:r>
    </w:p>
    <w:p>
      <w:pPr>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在其他方面，张生凯非常重视综合素质的提高，研读专业书籍，跟上时代的发展，相信这些经历和积累都将成为他人生道路上的宝贵财富。在学习中，他一直保持并发扬不懈追求，严谨学习的作风，本着“技硬能强”的校训，时刻严格要求自己，鼓励自己勇往直前，不怕艰辛不怕困苦，向自己的成功彼岸迈进。</w:t>
      </w:r>
    </w:p>
    <w:p>
      <w:pPr>
        <w:rPr>
          <w:rFonts w:hint="eastAsia"/>
        </w:rPr>
      </w:pPr>
      <w:r>
        <w:rPr>
          <w:rFonts w:hint="default" w:ascii="仿宋_GB2312" w:hAnsi="仿宋_GB2312" w:eastAsia="仿宋_GB2312" w:cs="仿宋_GB2312"/>
          <w:sz w:val="32"/>
          <w:szCs w:val="32"/>
          <w:lang w:val="en-US"/>
        </w:rPr>
        <w:t xml:space="preserve">      </w:t>
      </w:r>
      <w:r>
        <w:rPr>
          <w:rFonts w:hint="eastAsia" w:ascii="仿宋_GB2312" w:hAnsi="仿宋_GB2312" w:eastAsia="仿宋_GB2312" w:cs="仿宋_GB2312"/>
          <w:sz w:val="32"/>
          <w:szCs w:val="32"/>
        </w:rPr>
        <w:drawing>
          <wp:inline distT="0" distB="0" distL="114300" distR="114300">
            <wp:extent cx="4276090" cy="2647315"/>
            <wp:effectExtent l="0" t="0" r="5715" b="4445"/>
            <wp:docPr id="7" name="图片 7" descr="33f7baebf13d18ddc87a9ebee1f97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3f7baebf13d18ddc87a9ebee1f974c"/>
                    <pic:cNvPicPr>
                      <a:picLocks noChangeAspect="1"/>
                    </pic:cNvPicPr>
                  </pic:nvPicPr>
                  <pic:blipFill>
                    <a:blip r:embed="rId29"/>
                    <a:srcRect l="-6475" r="6475"/>
                    <a:stretch>
                      <a:fillRect/>
                    </a:stretch>
                  </pic:blipFill>
                  <pic:spPr>
                    <a:xfrm>
                      <a:off x="0" y="0"/>
                      <a:ext cx="4276090" cy="2647315"/>
                    </a:xfrm>
                    <a:prstGeom prst="rect">
                      <a:avLst/>
                    </a:prstGeom>
                  </pic:spPr>
                </pic:pic>
              </a:graphicData>
            </a:graphic>
          </wp:inline>
        </w:drawing>
      </w:r>
    </w:p>
    <w:p>
      <w:pPr>
        <w:pStyle w:val="10"/>
        <w:jc w:val="center"/>
        <w:rPr>
          <w:rFonts w:hint="eastAsia" w:ascii="仿宋" w:hAnsi="仿宋" w:eastAsia="仿宋" w:cs="仿宋"/>
          <w:sz w:val="21"/>
          <w:szCs w:val="21"/>
        </w:rPr>
      </w:pPr>
      <w:r>
        <w:rPr>
          <w:rFonts w:hint="eastAsia" w:ascii="仿宋" w:hAnsi="仿宋" w:eastAsia="仿宋" w:cs="仿宋"/>
          <w:sz w:val="21"/>
          <w:szCs w:val="21"/>
        </w:rPr>
        <w:t xml:space="preserve">图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SEQ 图 \* ARABIC </w:instrText>
      </w:r>
      <w:r>
        <w:rPr>
          <w:rFonts w:hint="eastAsia" w:ascii="仿宋" w:hAnsi="仿宋" w:eastAsia="仿宋" w:cs="仿宋"/>
          <w:sz w:val="21"/>
          <w:szCs w:val="21"/>
        </w:rPr>
        <w:fldChar w:fldCharType="separate"/>
      </w:r>
      <w:r>
        <w:rPr>
          <w:rFonts w:hint="eastAsia" w:ascii="仿宋" w:hAnsi="仿宋" w:eastAsia="仿宋" w:cs="仿宋"/>
          <w:sz w:val="21"/>
          <w:szCs w:val="21"/>
        </w:rPr>
        <w:t>4</w:t>
      </w:r>
      <w:r>
        <w:rPr>
          <w:rFonts w:hint="eastAsia" w:ascii="仿宋" w:hAnsi="仿宋" w:eastAsia="仿宋" w:cs="仿宋"/>
          <w:sz w:val="21"/>
          <w:szCs w:val="21"/>
        </w:rPr>
        <w:fldChar w:fldCharType="end"/>
      </w:r>
      <w:bookmarkStart w:id="42" w:name="_Toc28325"/>
      <w:bookmarkStart w:id="43" w:name="_Toc17732"/>
      <w:bookmarkStart w:id="44" w:name="_Toc13203"/>
      <w:r>
        <w:rPr>
          <w:rFonts w:hint="eastAsia" w:ascii="仿宋" w:hAnsi="仿宋" w:eastAsia="仿宋" w:cs="仿宋"/>
          <w:sz w:val="21"/>
          <w:szCs w:val="21"/>
        </w:rPr>
        <w:t>张生凯在张家口第二十一届运动会上获奖</w:t>
      </w:r>
      <w:bookmarkEnd w:id="42"/>
      <w:bookmarkEnd w:id="43"/>
      <w:bookmarkEnd w:id="44"/>
    </w:p>
    <w:p>
      <w:pPr>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张生凯同学时刻以一个团员应有的义务和责任来做，以一个学生干部应该具有的素质要求自己。他始终坚信：做事先做人，只求真心付出，无愧于心！在校期间，他一直担任班长，他时刻要求自己做老师的好帮手，同学的贴心人，时刻恪守自己的职责，在各项活动中发挥了模范带头的作用，积极参加学校组织的各种活动。在日常的工作中他还善于观察、了解身边同学，并及时与有困难的同学沟通。他开朗的性格，爽朗的作风，积极的心态，严谨的态度，真挚的帮助，热心的开导安慰，感染了身边的许多同学。同学们都说张生凯传递了正能量，在他身上你看到的不只是踏实勤奋刻苦，还有他那份乐观坚持坚强。</w:t>
      </w:r>
    </w:p>
    <w:p>
      <w:pPr>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张生凯同学不断求知、不断进步、不断学习，处处发挥着先锋模范作用。他高度的责任心和无私奉献的精神赢得了老师们的赞许和同学们的尊重。他能够在学习和工作中找到很好地平衡点，他深知作为一名学生的基本职责，在学习上从不懈怠，努力学习专业知识，不断提升自己的专业素养，训练期间，再忙他也要抽出时间学习，他相信时间挤挤总是有的，要想成功，就要对自己狠一点，就要比别人更努力。他坚信：今天的成就来自于昨天的努力，明天的辉煌必须从今天开始创造，付出总有回报。他努力地走好自己的每一步，踏实认真的做好每一件简单的事。他有严格的生物钟，时刻保持着高度的自觉、自理、自立的状态，从不被困难所吓倒，坚强乐观，永不言败。正是他永不服输的个性和在平凡中追求卓越的人生信条，使他赢得了同学们的喜爱和学习楷模的美誉。他有着认真的学习态度，良好的学习习惯，此外，该同学在学好专业知识的同时，还积极将所学的知识运用到实践中去。他的勤奋刻苦，踏实认真，是他一直以来给大家的印象，正是由于他这种锲而不舍的精神，才使得他取得今天的所有成绩。</w:t>
      </w:r>
    </w:p>
    <w:p>
      <w:pPr>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作为一名即将迈入大学的体育专业生来说，在未来的学习和生活中，他将继续努力学习，不断提升自己的专业素养和实践能力，始终保持对体育事业的热爱和激情，为实现体育强国的目标而不懈努力。</w:t>
      </w:r>
    </w:p>
    <w:p>
      <w:pPr>
        <w:pStyle w:val="21"/>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楷体" w:hAnsi="楷体" w:eastAsia="楷体" w:cs="楷体"/>
          <w:b w:val="0"/>
          <w:bCs/>
          <w:kern w:val="2"/>
          <w:sz w:val="32"/>
          <w:szCs w:val="22"/>
          <w:lang w:val="en-US" w:eastAsia="zh-CN" w:bidi="ar-SA"/>
        </w:rPr>
      </w:pPr>
      <w:r>
        <w:rPr>
          <w:rFonts w:hint="default" w:ascii="楷体" w:hAnsi="楷体" w:eastAsia="楷体" w:cs="楷体"/>
          <w:b w:val="0"/>
          <w:bCs/>
          <w:kern w:val="2"/>
          <w:sz w:val="32"/>
          <w:szCs w:val="22"/>
          <w:lang w:val="en-US" w:eastAsia="zh-CN" w:bidi="ar-SA"/>
        </w:rPr>
        <w:t>4.</w:t>
      </w:r>
      <w:r>
        <w:rPr>
          <w:rFonts w:hint="eastAsia" w:ascii="楷体" w:hAnsi="楷体" w:eastAsia="楷体" w:cs="楷体"/>
          <w:b w:val="0"/>
          <w:bCs/>
          <w:kern w:val="2"/>
          <w:sz w:val="32"/>
          <w:szCs w:val="22"/>
          <w:lang w:val="en-US" w:eastAsia="zh-CN" w:bidi="ar-SA"/>
        </w:rPr>
        <w:t>升学情况</w:t>
      </w:r>
    </w:p>
    <w:p>
      <w:pPr>
        <w:pStyle w:val="31"/>
        <w:keepNext w:val="0"/>
        <w:keepLines w:val="0"/>
        <w:pageBreakBefore w:val="0"/>
        <w:widowControl w:val="0"/>
        <w:shd w:val="clear" w:fill="FFFFFF" w:themeFill="background1"/>
        <w:kinsoku/>
        <w:wordWrap/>
        <w:overflowPunct/>
        <w:topLinePunct w:val="0"/>
        <w:autoSpaceDE/>
        <w:autoSpaceDN/>
        <w:bidi w:val="0"/>
        <w:adjustRightInd/>
        <w:snapToGrid/>
        <w:spacing w:after="0" w:line="560" w:lineRule="exact"/>
        <w:ind w:left="0" w:leftChars="0" w:right="0" w:rightChars="0" w:firstLine="640" w:firstLineChars="200"/>
        <w:jc w:val="left"/>
        <w:textAlignment w:val="auto"/>
        <w:outlineLvl w:val="9"/>
        <w:rPr>
          <w:rFonts w:hint="default" w:ascii="楷体" w:hAnsi="楷体" w:eastAsia="楷体" w:cs="楷体"/>
          <w:b w:val="0"/>
          <w:bCs/>
          <w:kern w:val="2"/>
          <w:sz w:val="32"/>
          <w:szCs w:val="22"/>
          <w:lang w:val="en-US" w:eastAsia="zh-CN" w:bidi="ar-SA"/>
        </w:rPr>
      </w:pPr>
      <w:r>
        <w:rPr>
          <w:rFonts w:hint="eastAsia" w:ascii="仿宋" w:hAnsi="仿宋" w:eastAsia="仿宋" w:cs="仿宋"/>
          <w:color w:val="000000"/>
          <w:kern w:val="2"/>
          <w:sz w:val="32"/>
          <w:szCs w:val="32"/>
          <w:lang w:val="en-US" w:eastAsia="zh-CN" w:bidi="ar-SA"/>
        </w:rPr>
        <w:t>2024年学校参加对口升学考试本科上线39人，</w:t>
      </w:r>
      <w:r>
        <w:rPr>
          <w:rFonts w:hint="default" w:ascii="仿宋" w:hAnsi="仿宋" w:eastAsia="仿宋" w:cs="仿宋"/>
          <w:color w:val="000000"/>
          <w:kern w:val="2"/>
          <w:sz w:val="32"/>
          <w:szCs w:val="32"/>
          <w:lang w:val="en-US" w:eastAsia="zh-CN" w:bidi="ar-SA"/>
        </w:rPr>
        <w:t>2023</w:t>
      </w:r>
      <w:r>
        <w:rPr>
          <w:rFonts w:hint="eastAsia" w:ascii="仿宋" w:hAnsi="仿宋" w:eastAsia="仿宋" w:cs="仿宋"/>
          <w:color w:val="000000"/>
          <w:kern w:val="2"/>
          <w:sz w:val="32"/>
          <w:szCs w:val="32"/>
          <w:lang w:val="en-US" w:eastAsia="zh-CN" w:bidi="ar-SA"/>
        </w:rPr>
        <w:t>年本科上线</w:t>
      </w:r>
      <w:r>
        <w:rPr>
          <w:rFonts w:hint="default" w:ascii="仿宋" w:hAnsi="仿宋" w:eastAsia="仿宋" w:cs="仿宋"/>
          <w:color w:val="000000"/>
          <w:kern w:val="2"/>
          <w:sz w:val="32"/>
          <w:szCs w:val="32"/>
          <w:lang w:val="en-US" w:eastAsia="zh-CN" w:bidi="ar-SA"/>
        </w:rPr>
        <w:t>19</w:t>
      </w:r>
      <w:r>
        <w:rPr>
          <w:rFonts w:hint="eastAsia" w:ascii="仿宋" w:hAnsi="仿宋" w:eastAsia="仿宋" w:cs="仿宋"/>
          <w:color w:val="000000"/>
          <w:kern w:val="2"/>
          <w:sz w:val="32"/>
          <w:szCs w:val="32"/>
          <w:lang w:val="en-US" w:eastAsia="zh-CN" w:bidi="ar-SA"/>
        </w:rPr>
        <w:t>人，增长</w:t>
      </w:r>
      <w:r>
        <w:rPr>
          <w:rFonts w:hint="default" w:ascii="仿宋" w:hAnsi="仿宋" w:eastAsia="仿宋" w:cs="仿宋"/>
          <w:color w:val="000000"/>
          <w:kern w:val="2"/>
          <w:sz w:val="32"/>
          <w:szCs w:val="32"/>
          <w:lang w:val="en-US" w:eastAsia="zh-CN" w:bidi="ar-SA"/>
        </w:rPr>
        <w:t>20</w:t>
      </w:r>
      <w:r>
        <w:rPr>
          <w:rFonts w:hint="eastAsia" w:ascii="仿宋" w:hAnsi="仿宋" w:eastAsia="仿宋" w:cs="仿宋"/>
          <w:color w:val="000000"/>
          <w:kern w:val="2"/>
          <w:sz w:val="32"/>
          <w:szCs w:val="32"/>
          <w:lang w:val="en-US" w:eastAsia="zh-CN" w:bidi="ar-SA"/>
        </w:rPr>
        <w:t>人，增长率为</w:t>
      </w:r>
      <w:r>
        <w:rPr>
          <w:rFonts w:hint="default" w:ascii="仿宋" w:hAnsi="仿宋" w:eastAsia="仿宋" w:cs="仿宋"/>
          <w:color w:val="000000"/>
          <w:kern w:val="2"/>
          <w:sz w:val="32"/>
          <w:szCs w:val="32"/>
          <w:lang w:val="en-US" w:eastAsia="zh-CN" w:bidi="ar-SA"/>
        </w:rPr>
        <w:t>105</w:t>
      </w:r>
      <w:r>
        <w:rPr>
          <w:rFonts w:hint="eastAsia" w:ascii="仿宋" w:hAnsi="仿宋" w:eastAsia="仿宋" w:cs="仿宋"/>
          <w:color w:val="000000"/>
          <w:kern w:val="2"/>
          <w:sz w:val="32"/>
          <w:szCs w:val="32"/>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40" w:firstLineChars="200"/>
        <w:jc w:val="left"/>
        <w:textAlignment w:val="auto"/>
        <w:outlineLvl w:val="9"/>
        <w:rPr>
          <w:rFonts w:hint="eastAsia" w:ascii="Times New Roman" w:hAnsi="Times New Roman" w:eastAsia="仿宋_GB2312"/>
          <w:sz w:val="32"/>
          <w:szCs w:val="32"/>
          <w:lang w:val="en-US" w:eastAsia="zh-CN"/>
        </w:rPr>
      </w:pPr>
      <w:bookmarkStart w:id="45" w:name="_Toc15162"/>
      <w:r>
        <w:rPr>
          <w:rFonts w:hint="default" w:ascii="Times New Roman" w:hAnsi="Times New Roman" w:eastAsia="仿宋_GB2312"/>
          <w:sz w:val="32"/>
          <w:szCs w:val="32"/>
          <w:lang w:val="en-US" w:eastAsia="zh-CN"/>
        </w:rPr>
        <w:t>5.</w:t>
      </w:r>
      <w:r>
        <w:rPr>
          <w:rFonts w:hint="eastAsia" w:ascii="Times New Roman" w:hAnsi="Times New Roman" w:eastAsia="仿宋_GB2312"/>
          <w:sz w:val="32"/>
          <w:szCs w:val="32"/>
          <w:lang w:val="en-US" w:eastAsia="zh-CN"/>
        </w:rPr>
        <w:t>创新创业</w:t>
      </w:r>
      <w:bookmarkEnd w:id="45"/>
    </w:p>
    <w:p>
      <w:pPr>
        <w:keepNext w:val="0"/>
        <w:keepLines w:val="0"/>
        <w:pageBreakBefore w:val="0"/>
        <w:widowControl w:val="0"/>
        <w:shd w:val="clear" w:fill="FFFFFF" w:themeFill="background1"/>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学校积极引企入校，结合实际岗位技能需求对现有的课程体系进行重新整合和二次开发，优化专业课程体系，开展生产性项目实训、代加工生产，深入企业探索中国特色现代学徒制等多种实践，提升了学生职业迁移能力，充分挖掘学生创新、创业精神的内在潜力，进而提高学生的创新、创业能力。</w:t>
      </w:r>
    </w:p>
    <w:p>
      <w:pPr>
        <w:keepNext w:val="0"/>
        <w:keepLines w:val="0"/>
        <w:pageBreakBefore w:val="0"/>
        <w:widowControl w:val="0"/>
        <w:shd w:val="clear" w:fill="FFFFFF" w:themeFill="background1"/>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学校为典型学员代表创业明星赵玉星创建的涿鹿县广义兔业专业合作社及其员工所提供的技术培训加持，取得丰硕的效果。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40" w:firstLineChars="200"/>
        <w:jc w:val="left"/>
        <w:textAlignment w:val="auto"/>
        <w:outlineLvl w:val="9"/>
        <w:rPr>
          <w:rFonts w:hint="eastAsia" w:ascii="Times New Roman" w:hAnsi="Times New Roman" w:eastAsia="仿宋_GB2312"/>
          <w:sz w:val="32"/>
          <w:szCs w:val="32"/>
          <w:lang w:val="en-US" w:eastAsia="zh-CN"/>
        </w:rPr>
      </w:pPr>
      <w:r>
        <w:rPr>
          <w:rFonts w:hint="default" w:ascii="Times New Roman" w:hAnsi="Times New Roman" w:eastAsia="仿宋_GB2312"/>
          <w:sz w:val="32"/>
          <w:szCs w:val="32"/>
          <w:lang w:val="en-US" w:eastAsia="zh-CN"/>
        </w:rPr>
        <w:t>6.</w:t>
      </w:r>
      <w:r>
        <w:rPr>
          <w:rFonts w:hint="eastAsia" w:ascii="Times New Roman" w:hAnsi="Times New Roman" w:eastAsia="仿宋_GB2312"/>
          <w:sz w:val="32"/>
          <w:szCs w:val="32"/>
          <w:lang w:val="en-US" w:eastAsia="zh-CN"/>
        </w:rPr>
        <w:t>技能大赛</w:t>
      </w:r>
    </w:p>
    <w:p>
      <w:pPr>
        <w:pStyle w:val="1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rPr>
      </w:pPr>
      <w:r>
        <w:rPr>
          <w:rFonts w:hint="eastAsia" w:ascii="仿宋" w:hAnsi="仿宋" w:eastAsia="仿宋" w:cs="仿宋"/>
          <w:sz w:val="32"/>
          <w:szCs w:val="32"/>
          <w:lang w:val="en-US" w:eastAsia="zh-CN"/>
        </w:rPr>
        <w:t>学校教师参加张家口市“创新杯”优质课比赛，荣获2个一等奖，一个二等奖，一个优秀奖。参加河北省优质课比赛获得一个三等奖。在河北省职业院校技能大赛（中职组）数字产品检测与维护赛项中获二等奖，在河北省职业院校技能大赛（中职组）数字艺术设计赛项获两个三等奖。</w:t>
      </w:r>
    </w:p>
    <w:p>
      <w:pPr>
        <w:pStyle w:val="10"/>
        <w:keepNext w:val="0"/>
        <w:keepLines w:val="0"/>
        <w:pageBreakBefore w:val="0"/>
        <w:widowControl w:val="0"/>
        <w:kinsoku/>
        <w:wordWrap/>
        <w:overflowPunct/>
        <w:topLinePunct w:val="0"/>
        <w:autoSpaceDE/>
        <w:autoSpaceDN/>
        <w:bidi w:val="0"/>
        <w:adjustRightInd/>
        <w:snapToGrid/>
        <w:spacing w:line="560" w:lineRule="exact"/>
        <w:ind w:left="0" w:leftChars="0" w:firstLine="482" w:firstLineChars="200"/>
        <w:jc w:val="left"/>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 xml:space="preserve">典型案例 </w:t>
      </w:r>
      <w:r>
        <w:rPr>
          <w:rFonts w:hint="eastAsia" w:ascii="仿宋" w:hAnsi="仿宋" w:eastAsia="仿宋" w:cs="仿宋"/>
          <w:b/>
          <w:bCs/>
          <w:kern w:val="2"/>
          <w:sz w:val="24"/>
          <w:szCs w:val="24"/>
          <w:lang w:val="en-US" w:eastAsia="zh-CN" w:bidi="ar-SA"/>
        </w:rPr>
        <w:fldChar w:fldCharType="begin"/>
      </w:r>
      <w:r>
        <w:rPr>
          <w:rFonts w:hint="eastAsia" w:ascii="仿宋" w:hAnsi="仿宋" w:eastAsia="仿宋" w:cs="仿宋"/>
          <w:b/>
          <w:bCs/>
          <w:kern w:val="2"/>
          <w:sz w:val="24"/>
          <w:szCs w:val="24"/>
          <w:lang w:val="en-US" w:eastAsia="zh-CN" w:bidi="ar-SA"/>
        </w:rPr>
        <w:instrText xml:space="preserve"> SEQ 典型案例 \* ARABIC </w:instrText>
      </w:r>
      <w:r>
        <w:rPr>
          <w:rFonts w:hint="eastAsia" w:ascii="仿宋" w:hAnsi="仿宋" w:eastAsia="仿宋" w:cs="仿宋"/>
          <w:b/>
          <w:bCs/>
          <w:kern w:val="2"/>
          <w:sz w:val="24"/>
          <w:szCs w:val="24"/>
          <w:lang w:val="en-US" w:eastAsia="zh-CN" w:bidi="ar-SA"/>
        </w:rPr>
        <w:fldChar w:fldCharType="separate"/>
      </w:r>
      <w:r>
        <w:rPr>
          <w:rFonts w:hint="eastAsia" w:ascii="仿宋" w:hAnsi="仿宋" w:eastAsia="仿宋" w:cs="仿宋"/>
          <w:b/>
          <w:bCs/>
          <w:kern w:val="2"/>
          <w:sz w:val="24"/>
          <w:szCs w:val="24"/>
          <w:lang w:val="en-US" w:eastAsia="zh-CN" w:bidi="ar-SA"/>
        </w:rPr>
        <w:t>2</w:t>
      </w:r>
      <w:r>
        <w:rPr>
          <w:rFonts w:hint="eastAsia" w:ascii="仿宋" w:hAnsi="仿宋" w:eastAsia="仿宋" w:cs="仿宋"/>
          <w:b/>
          <w:bCs/>
          <w:kern w:val="2"/>
          <w:sz w:val="24"/>
          <w:szCs w:val="24"/>
          <w:lang w:val="en-US" w:eastAsia="zh-CN" w:bidi="ar-SA"/>
        </w:rPr>
        <w:fldChar w:fldCharType="end"/>
      </w:r>
      <w:bookmarkStart w:id="46" w:name="_Toc8739"/>
      <w:bookmarkEnd w:id="46"/>
    </w:p>
    <w:p>
      <w:pPr>
        <w:ind w:firstLine="1600" w:firstLineChars="500"/>
        <w:jc w:val="center"/>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加强职业技能  展现青春风采</w:t>
      </w:r>
    </w:p>
    <w:p>
      <w:pPr>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航空服务专业的礼仪队作为该校的一张绚丽的名片，多次参加市县举行的重大活动，队员更换一届又一届，精神风貌永远不变，得到各级领导和社会高度认可，多次在重量级礼仪竞赛中拔得头筹，展现出该校学生在服务行业的高素质。</w:t>
      </w:r>
    </w:p>
    <w:p>
      <w:pPr>
        <w:pStyle w:val="3"/>
        <w:rPr>
          <w:rFonts w:hint="eastAsia"/>
          <w:lang w:val="en-US"/>
        </w:rPr>
      </w:pPr>
      <w:r>
        <w:rPr>
          <w:lang w:val="en-US" w:bidi="ar-SA"/>
        </w:rPr>
        <w:drawing>
          <wp:anchor distT="0" distB="0" distL="114300" distR="114300" simplePos="0" relativeHeight="251700224" behindDoc="0" locked="0" layoutInCell="1" allowOverlap="1">
            <wp:simplePos x="0" y="0"/>
            <wp:positionH relativeFrom="column">
              <wp:posOffset>454025</wp:posOffset>
            </wp:positionH>
            <wp:positionV relativeFrom="page">
              <wp:posOffset>945515</wp:posOffset>
            </wp:positionV>
            <wp:extent cx="4859655" cy="3191510"/>
            <wp:effectExtent l="0" t="0" r="1905" b="8890"/>
            <wp:wrapTopAndBottom/>
            <wp:docPr id="15" name="图片 15" descr="bf63380f651fdf47968be075a984d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f63380f651fdf47968be075a984d5e"/>
                    <pic:cNvPicPr>
                      <a:picLocks noChangeAspect="1"/>
                    </pic:cNvPicPr>
                  </pic:nvPicPr>
                  <pic:blipFill>
                    <a:blip r:embed="rId30"/>
                    <a:stretch>
                      <a:fillRect/>
                    </a:stretch>
                  </pic:blipFill>
                  <pic:spPr>
                    <a:xfrm>
                      <a:off x="0" y="0"/>
                      <a:ext cx="4859655" cy="3191510"/>
                    </a:xfrm>
                    <a:prstGeom prst="rect">
                      <a:avLst/>
                    </a:prstGeom>
                  </pic:spPr>
                </pic:pic>
              </a:graphicData>
            </a:graphic>
          </wp:anchor>
        </w:drawing>
      </w:r>
    </w:p>
    <w:p>
      <w:pPr>
        <w:pStyle w:val="10"/>
        <w:jc w:val="center"/>
        <w:rPr>
          <w:lang w:val="en-US"/>
        </w:rPr>
      </w:pPr>
      <w:r>
        <w:t xml:space="preserve">图 </w:t>
      </w:r>
      <w:r>
        <w:fldChar w:fldCharType="begin"/>
      </w:r>
      <w:r>
        <w:instrText xml:space="preserve"> SEQ 图 \* ARABIC </w:instrText>
      </w:r>
      <w:r>
        <w:fldChar w:fldCharType="separate"/>
      </w:r>
      <w:r>
        <w:t>5</w:t>
      </w:r>
      <w:r>
        <w:fldChar w:fldCharType="end"/>
      </w:r>
      <w:bookmarkStart w:id="47" w:name="_Toc14561"/>
      <w:bookmarkStart w:id="48" w:name="_Toc9179"/>
      <w:bookmarkStart w:id="49" w:name="_Toc26067"/>
      <w:r>
        <w:t>学校航空专业礼仪队参加教师节活动</w:t>
      </w:r>
      <w:bookmarkEnd w:id="47"/>
      <w:bookmarkEnd w:id="48"/>
      <w:bookmarkEnd w:id="49"/>
    </w:p>
    <w:p>
      <w:pPr>
        <w:rPr>
          <w:rFonts w:hint="eastAsia"/>
          <w:lang w:val="en-US"/>
        </w:rPr>
      </w:pPr>
    </w:p>
    <w:p>
      <w:pPr>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drawing>
          <wp:anchor distT="0" distB="0" distL="0" distR="0" simplePos="0" relativeHeight="251684864" behindDoc="0" locked="0" layoutInCell="1" allowOverlap="1">
            <wp:simplePos x="0" y="0"/>
            <wp:positionH relativeFrom="column">
              <wp:posOffset>491490</wp:posOffset>
            </wp:positionH>
            <wp:positionV relativeFrom="paragraph">
              <wp:posOffset>526415</wp:posOffset>
            </wp:positionV>
            <wp:extent cx="4826000" cy="2952750"/>
            <wp:effectExtent l="0" t="0" r="5080" b="3810"/>
            <wp:wrapTopAndBottom/>
            <wp:docPr id="106" name="图片 106" descr="C:\Users\Administrator\Documents\WeChat Files\wxid_blz7lsykq5z332\FileStorage\Temp\c56cfba7cba3af03d69fb0f130247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Users\Administrator\Documents\WeChat Files\wxid_blz7lsykq5z332\FileStorage\Temp\c56cfba7cba3af03d69fb0f1302474b.jpg"/>
                    <pic:cNvPicPr>
                      <a:picLocks noChangeAspect="1" noChangeArrowheads="1"/>
                    </pic:cNvPicPr>
                  </pic:nvPicPr>
                  <pic:blipFill>
                    <a:blip r:embed="rId31" cstate="print"/>
                    <a:srcRect/>
                    <a:stretch>
                      <a:fillRect/>
                    </a:stretch>
                  </pic:blipFill>
                  <pic:spPr>
                    <a:xfrm>
                      <a:off x="0" y="0"/>
                      <a:ext cx="4826000" cy="2952750"/>
                    </a:xfrm>
                    <a:prstGeom prst="rect">
                      <a:avLst/>
                    </a:prstGeom>
                    <a:noFill/>
                    <a:ln w="9525">
                      <a:noFill/>
                      <a:miter lim="800000"/>
                      <a:headEnd/>
                      <a:tailEnd/>
                    </a:ln>
                  </pic:spPr>
                </pic:pic>
              </a:graphicData>
            </a:graphic>
          </wp:anchor>
        </w:drawing>
      </w:r>
      <w:r>
        <w:rPr>
          <w:rFonts w:hint="eastAsia" w:ascii="仿宋" w:hAnsi="仿宋" w:eastAsia="仿宋" w:cs="仿宋"/>
          <w:kern w:val="2"/>
          <w:sz w:val="32"/>
          <w:szCs w:val="32"/>
          <w:lang w:val="en-US" w:eastAsia="zh-CN" w:bidi="ar-SA"/>
        </w:rPr>
        <w:t>2024年河北省职业院校技能大赛（中职组）“数字产品检测</w:t>
      </w:r>
    </w:p>
    <w:p>
      <w:pPr>
        <w:pStyle w:val="10"/>
        <w:jc w:val="center"/>
        <w:rPr>
          <w:lang w:val="en-US"/>
        </w:rPr>
      </w:pPr>
      <w:r>
        <w:t xml:space="preserve">图 </w:t>
      </w:r>
      <w:r>
        <w:fldChar w:fldCharType="begin"/>
      </w:r>
      <w:r>
        <w:instrText xml:space="preserve"> SEQ 图 \* ARABIC </w:instrText>
      </w:r>
      <w:r>
        <w:fldChar w:fldCharType="separate"/>
      </w:r>
      <w:r>
        <w:t>6</w:t>
      </w:r>
      <w:r>
        <w:fldChar w:fldCharType="end"/>
      </w:r>
      <w:bookmarkStart w:id="50" w:name="_Toc27787"/>
      <w:bookmarkStart w:id="51" w:name="_Toc5380"/>
      <w:bookmarkStart w:id="52" w:name="_Toc7068"/>
      <w:r>
        <w:rPr>
          <w:rFonts w:hint="eastAsia"/>
          <w:lang w:eastAsia="zh-CN"/>
        </w:rPr>
        <w:t>李东生老师和计算机专业学生唐鑫磊、邓峰老师和计算机专业学生王亚娟</w:t>
      </w:r>
      <w:r>
        <w:rPr>
          <w:rFonts w:hint="eastAsia"/>
          <w:lang w:val="en-US" w:eastAsia="zh-CN"/>
        </w:rPr>
        <w:t>参加省技能大赛</w:t>
      </w:r>
      <w:bookmarkEnd w:id="50"/>
      <w:bookmarkEnd w:id="51"/>
      <w:bookmarkEnd w:id="52"/>
    </w:p>
    <w:p>
      <w:pPr>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与维护”赛项，涿鹿县职教中心由李东生老师和计算机专业学生唐鑫磊、邓峰老师和计算机专业学生王亚娟组成的两支代表队，分别荣获二等奖、三等奖。</w:t>
      </w:r>
    </w:p>
    <w:p>
      <w:pPr>
        <w:pStyle w:val="2"/>
        <w:keepNext w:val="0"/>
        <w:keepLines w:val="0"/>
        <w:pageBreakBefore w:val="0"/>
        <w:widowControl w:val="0"/>
        <w:kinsoku/>
        <w:wordWrap/>
        <w:overflowPunct/>
        <w:topLinePunct w:val="0"/>
        <w:autoSpaceDE/>
        <w:autoSpaceDN/>
        <w:bidi w:val="0"/>
        <w:adjustRightInd/>
        <w:snapToGrid/>
        <w:spacing w:before="0" w:line="560" w:lineRule="exact"/>
        <w:ind w:left="0" w:leftChars="0" w:right="0" w:rightChars="0" w:firstLine="640" w:firstLineChars="200"/>
        <w:jc w:val="left"/>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2024年涿鹿县职教中心学生任俊楠、赵子豪、付欣璐在县第四届冰雪运动会中获一金两银。</w:t>
      </w:r>
    </w:p>
    <w:p>
      <w:pPr>
        <w:ind w:firstLine="640" w:firstLineChars="200"/>
        <w:rPr>
          <w:rFonts w:hint="eastAsia" w:ascii="仿宋" w:hAnsi="仿宋" w:eastAsia="仿宋" w:cs="仿宋"/>
          <w:color w:val="000000" w:themeColor="text1"/>
          <w:kern w:val="2"/>
          <w:sz w:val="32"/>
          <w:szCs w:val="32"/>
          <w:lang w:val="en-US" w:eastAsia="zh-CN" w:bidi="zh-CN"/>
          <w14:textFill>
            <w14:solidFill>
              <w14:schemeClr w14:val="tx1"/>
            </w14:solidFill>
          </w14:textFill>
        </w:rPr>
      </w:pPr>
      <w:r>
        <w:rPr>
          <w:rFonts w:hint="eastAsia" w:ascii="仿宋" w:hAnsi="仿宋" w:eastAsia="仿宋" w:cs="仿宋"/>
          <w:color w:val="000000" w:themeColor="text1"/>
          <w:kern w:val="2"/>
          <w:sz w:val="32"/>
          <w:szCs w:val="32"/>
          <w:lang w:val="zh-CN" w:eastAsia="zh-CN" w:bidi="zh-CN"/>
          <w14:textFill>
            <w14:solidFill>
              <w14:schemeClr w14:val="tx1"/>
            </w14:solidFill>
          </w14:textFill>
        </w:rPr>
        <w:t>2024年郭洪兵、刘利敏、李孟鑫三位同学荣获张家口市经典诵写讲“诵读中国”经典诵读大赛职业院校学生组二等奖。</w:t>
      </w:r>
    </w:p>
    <w:p>
      <w:pPr>
        <w:pStyle w:val="3"/>
        <w:rPr>
          <w:rFonts w:hint="eastAsia" w:ascii="仿宋" w:hAnsi="仿宋" w:eastAsia="仿宋" w:cs="仿宋"/>
          <w:color w:val="000000" w:themeColor="text1"/>
          <w:kern w:val="2"/>
          <w:sz w:val="32"/>
          <w:szCs w:val="32"/>
          <w:lang w:val="zh-CN" w:eastAsia="zh-CN" w:bidi="zh-CN"/>
          <w14:textFill>
            <w14:solidFill>
              <w14:schemeClr w14:val="tx1"/>
            </w14:solidFill>
          </w14:textFill>
        </w:rPr>
      </w:pPr>
      <w:r>
        <w:rPr>
          <w:rFonts w:hint="eastAsia" w:ascii="仿宋" w:hAnsi="仿宋" w:eastAsia="仿宋" w:cs="仿宋"/>
          <w:color w:val="000000" w:themeColor="text1"/>
          <w:kern w:val="2"/>
          <w:sz w:val="32"/>
          <w:szCs w:val="32"/>
          <w:lang w:val="en-US" w:eastAsia="zh-CN" w:bidi="zh-CN"/>
          <w14:textFill>
            <w14:solidFill>
              <w14:schemeClr w14:val="tx1"/>
            </w14:solidFill>
          </w14:textFill>
        </w:rPr>
        <w:drawing>
          <wp:anchor distT="0" distB="0" distL="0" distR="0" simplePos="0" relativeHeight="251668480" behindDoc="0" locked="0" layoutInCell="1" allowOverlap="1">
            <wp:simplePos x="0" y="0"/>
            <wp:positionH relativeFrom="column">
              <wp:posOffset>259080</wp:posOffset>
            </wp:positionH>
            <wp:positionV relativeFrom="paragraph">
              <wp:posOffset>1222375</wp:posOffset>
            </wp:positionV>
            <wp:extent cx="4688205" cy="2238375"/>
            <wp:effectExtent l="0" t="0" r="5715" b="1905"/>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2" cstate="print"/>
                    <a:srcRect/>
                    <a:stretch>
                      <a:fillRect/>
                    </a:stretch>
                  </pic:blipFill>
                  <pic:spPr>
                    <a:xfrm>
                      <a:off x="0" y="0"/>
                      <a:ext cx="4688205" cy="2238375"/>
                    </a:xfrm>
                    <a:prstGeom prst="rect">
                      <a:avLst/>
                    </a:prstGeom>
                    <a:noFill/>
                    <a:ln w="9525">
                      <a:noFill/>
                      <a:miter lim="800000"/>
                      <a:headEnd/>
                      <a:tailEnd/>
                    </a:ln>
                  </pic:spPr>
                </pic:pic>
              </a:graphicData>
            </a:graphic>
          </wp:anchor>
        </w:drawing>
      </w:r>
      <w:r>
        <w:rPr>
          <w:rFonts w:hint="eastAsia" w:ascii="仿宋" w:hAnsi="仿宋" w:eastAsia="仿宋" w:cs="仿宋"/>
          <w:color w:val="000000" w:themeColor="text1"/>
          <w:kern w:val="2"/>
          <w:sz w:val="32"/>
          <w:szCs w:val="32"/>
          <w:lang w:val="zh-CN" w:eastAsia="zh-CN" w:bidi="zh-CN"/>
          <w14:textFill>
            <w14:solidFill>
              <w14:schemeClr w14:val="tx1"/>
            </w14:solidFill>
          </w14:textFill>
        </w:rPr>
        <w:t>2024年在涿鹿县第35届中小幼艺术节艺术作品类比赛中，该校社会文化艺术专业的王佳怡、李璇、李孟鑫三位学生的绘画作品，凭借独特的创意和精湛的技艺荣获一等奖。</w:t>
      </w:r>
    </w:p>
    <w:p>
      <w:pPr>
        <w:rPr>
          <w:rFonts w:hint="eastAsia"/>
          <w:lang w:val="en-US" w:eastAsia="zh-CN"/>
        </w:rPr>
      </w:pPr>
    </w:p>
    <w:p>
      <w:pPr>
        <w:pStyle w:val="10"/>
        <w:jc w:val="center"/>
        <w:rPr>
          <w:rFonts w:hint="eastAsia" w:ascii="仿宋" w:hAnsi="仿宋" w:eastAsia="仿宋" w:cs="仿宋"/>
          <w:b/>
          <w:bCs/>
          <w:kern w:val="2"/>
          <w:sz w:val="24"/>
          <w:szCs w:val="24"/>
          <w:lang w:val="en-US" w:eastAsia="zh-CN" w:bidi="ar-SA"/>
        </w:rPr>
      </w:pPr>
      <w:r>
        <w:t xml:space="preserve">图 </w:t>
      </w:r>
      <w:r>
        <w:fldChar w:fldCharType="begin"/>
      </w:r>
      <w:r>
        <w:instrText xml:space="preserve"> SEQ 图 \* ARABIC </w:instrText>
      </w:r>
      <w:r>
        <w:fldChar w:fldCharType="separate"/>
      </w:r>
      <w:r>
        <w:t>7</w:t>
      </w:r>
      <w:r>
        <w:fldChar w:fldCharType="end"/>
      </w:r>
      <w:bookmarkStart w:id="53" w:name="_Toc28202"/>
      <w:bookmarkStart w:id="54" w:name="_Toc6930"/>
      <w:bookmarkStart w:id="55" w:name="_Toc30719"/>
      <w:r>
        <w:rPr>
          <w:rFonts w:hint="eastAsia"/>
          <w:lang w:eastAsia="zh-CN"/>
        </w:rPr>
        <w:t>学生在涿鹿县第</w:t>
      </w:r>
      <w:r>
        <w:rPr>
          <w:rFonts w:hint="eastAsia"/>
          <w:lang w:val="en-US" w:eastAsia="zh-CN"/>
        </w:rPr>
        <w:t>35</w:t>
      </w:r>
      <w:r>
        <w:rPr>
          <w:rFonts w:hint="eastAsia"/>
          <w:lang w:eastAsia="zh-CN"/>
        </w:rPr>
        <w:t>届中小幼艺术节获奖作品</w:t>
      </w:r>
      <w:bookmarkEnd w:id="53"/>
      <w:bookmarkEnd w:id="54"/>
      <w:bookmarkEnd w:id="55"/>
    </w:p>
    <w:p>
      <w:pPr>
        <w:pStyle w:val="10"/>
        <w:keepNext w:val="0"/>
        <w:keepLines w:val="0"/>
        <w:pageBreakBefore w:val="0"/>
        <w:widowControl w:val="0"/>
        <w:kinsoku/>
        <w:wordWrap/>
        <w:overflowPunct/>
        <w:topLinePunct w:val="0"/>
        <w:autoSpaceDE/>
        <w:autoSpaceDN/>
        <w:bidi w:val="0"/>
        <w:adjustRightInd/>
        <w:snapToGrid/>
        <w:spacing w:line="560" w:lineRule="exact"/>
        <w:ind w:left="0" w:leftChars="0" w:firstLine="482" w:firstLineChars="200"/>
        <w:jc w:val="left"/>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 xml:space="preserve">典型案例 </w:t>
      </w:r>
      <w:r>
        <w:rPr>
          <w:rFonts w:hint="eastAsia" w:ascii="仿宋" w:hAnsi="仿宋" w:eastAsia="仿宋" w:cs="仿宋"/>
          <w:b/>
          <w:bCs/>
          <w:kern w:val="2"/>
          <w:sz w:val="24"/>
          <w:szCs w:val="24"/>
          <w:lang w:val="en-US" w:eastAsia="zh-CN" w:bidi="ar-SA"/>
        </w:rPr>
        <w:fldChar w:fldCharType="begin"/>
      </w:r>
      <w:r>
        <w:rPr>
          <w:rFonts w:hint="eastAsia" w:ascii="仿宋" w:hAnsi="仿宋" w:eastAsia="仿宋" w:cs="仿宋"/>
          <w:b/>
          <w:bCs/>
          <w:kern w:val="2"/>
          <w:sz w:val="24"/>
          <w:szCs w:val="24"/>
          <w:lang w:val="en-US" w:eastAsia="zh-CN" w:bidi="ar-SA"/>
        </w:rPr>
        <w:instrText xml:space="preserve"> SEQ 典型案例 \* ARABIC </w:instrText>
      </w:r>
      <w:r>
        <w:rPr>
          <w:rFonts w:hint="eastAsia" w:ascii="仿宋" w:hAnsi="仿宋" w:eastAsia="仿宋" w:cs="仿宋"/>
          <w:b/>
          <w:bCs/>
          <w:kern w:val="2"/>
          <w:sz w:val="24"/>
          <w:szCs w:val="24"/>
          <w:lang w:val="en-US" w:eastAsia="zh-CN" w:bidi="ar-SA"/>
        </w:rPr>
        <w:fldChar w:fldCharType="separate"/>
      </w:r>
      <w:r>
        <w:rPr>
          <w:rFonts w:hint="eastAsia" w:ascii="仿宋" w:hAnsi="仿宋" w:eastAsia="仿宋" w:cs="仿宋"/>
          <w:b/>
          <w:bCs/>
          <w:kern w:val="2"/>
          <w:sz w:val="24"/>
          <w:szCs w:val="24"/>
          <w:lang w:val="en-US" w:eastAsia="zh-CN" w:bidi="ar-SA"/>
        </w:rPr>
        <w:t>3</w:t>
      </w:r>
      <w:r>
        <w:rPr>
          <w:rFonts w:hint="eastAsia" w:ascii="仿宋" w:hAnsi="仿宋" w:eastAsia="仿宋" w:cs="仿宋"/>
          <w:b/>
          <w:bCs/>
          <w:kern w:val="2"/>
          <w:sz w:val="24"/>
          <w:szCs w:val="24"/>
          <w:lang w:val="en-US" w:eastAsia="zh-CN" w:bidi="ar-SA"/>
        </w:rPr>
        <w:fldChar w:fldCharType="end"/>
      </w:r>
      <w:bookmarkStart w:id="56" w:name="_Toc22368"/>
      <w:bookmarkEnd w:id="56"/>
    </w:p>
    <w:p>
      <w:pPr>
        <w:pStyle w:val="1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 w:hAnsi="Calibri" w:eastAsia="仿宋" w:cs="仿宋"/>
          <w:kern w:val="2"/>
          <w:sz w:val="32"/>
          <w:szCs w:val="32"/>
          <w:lang w:val="en-US" w:eastAsia="zh-CN" w:bidi="zh-CN"/>
        </w:rPr>
      </w:pPr>
      <w:r>
        <w:rPr>
          <w:rFonts w:hint="default" w:ascii="仿宋" w:hAnsi="Calibri" w:eastAsia="仿宋" w:cs="仿宋"/>
          <w:kern w:val="2"/>
          <w:sz w:val="32"/>
          <w:szCs w:val="32"/>
          <w:lang w:val="en-US" w:eastAsia="zh-CN" w:bidi="zh-CN"/>
        </w:rPr>
        <w:t>涿鹿职教参加“匠心杯”汽车工程系职业技能大赛获奖</w:t>
      </w:r>
    </w:p>
    <w:p>
      <w:pPr>
        <w:pStyle w:val="2"/>
        <w:keepNext w:val="0"/>
        <w:keepLines w:val="0"/>
        <w:pageBreakBefore w:val="0"/>
        <w:widowControl w:val="0"/>
        <w:kinsoku/>
        <w:wordWrap/>
        <w:overflowPunct/>
        <w:topLinePunct w:val="0"/>
        <w:autoSpaceDE/>
        <w:autoSpaceDN/>
        <w:bidi w:val="0"/>
        <w:adjustRightInd/>
        <w:snapToGrid/>
        <w:spacing w:before="0" w:line="560" w:lineRule="exact"/>
        <w:ind w:left="0" w:leftChars="0" w:right="0" w:rightChars="0" w:firstLine="640" w:firstLineChars="200"/>
        <w:jc w:val="left"/>
        <w:textAlignment w:val="auto"/>
        <w:outlineLvl w:val="9"/>
        <w:rPr>
          <w:rFonts w:hint="eastAsia"/>
          <w:lang w:val="en-US" w:eastAsia="zh-CN"/>
        </w:rPr>
      </w:pPr>
      <w:r>
        <w:rPr>
          <w:rFonts w:hint="eastAsia"/>
          <w:lang w:val="en-US" w:eastAsia="zh-CN"/>
        </w:rPr>
        <w:t>由北京市延庆区教委主办、延庆区职业学院承办的首届“匠心杯”职业技能大赛隆重举行。作为延庆职院的教育协同发展合作办学单位的涿鹿县职教中心，汽车运用与维修专业正在延庆职院参加汽修技能提升实习的6名学生参加了“汽车塑料保险杠修复项目”比赛，且表现较为出色。其中，杨涛同学获得二等奖、刘玉龙和朱丽峰获得三等奖，展示了他们扎实的专业知识和技能水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双方学校将进一步强化合作，共同探索两校名师创新工作室可持续发展的交流，组建汽车维修职业教育共同体，用“职教力量”实现“匠心铸梦想、技能创未来”的崇高职业理想，为社会培养更多更优更强的高素质技术技能型人才。</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320" w:firstLineChars="100"/>
        <w:jc w:val="left"/>
        <w:textAlignment w:val="auto"/>
        <w:outlineLvl w:val="1"/>
        <w:rPr>
          <w:rFonts w:hint="eastAsia" w:ascii="楷体" w:hAnsi="楷体" w:eastAsia="楷体" w:cs="楷体"/>
          <w:b w:val="0"/>
          <w:bCs/>
          <w:kern w:val="2"/>
          <w:sz w:val="32"/>
          <w:szCs w:val="22"/>
          <w:lang w:val="en-US" w:eastAsia="zh-CN" w:bidi="ar-SA"/>
        </w:rPr>
      </w:pPr>
      <w:bookmarkStart w:id="57" w:name="_Toc13099"/>
      <w:bookmarkStart w:id="58" w:name="_Toc31350"/>
      <w:r>
        <w:rPr>
          <w:rFonts w:hint="eastAsia" w:ascii="楷体" w:hAnsi="楷体" w:eastAsia="楷体" w:cs="楷体"/>
          <w:b w:val="0"/>
          <w:bCs/>
          <w:kern w:val="2"/>
          <w:sz w:val="32"/>
          <w:szCs w:val="22"/>
          <w:lang w:val="en-US" w:eastAsia="zh-CN" w:bidi="ar-SA"/>
        </w:rPr>
        <w:t>（二）教育教学</w:t>
      </w:r>
      <w:bookmarkEnd w:id="57"/>
      <w:bookmarkEnd w:id="58"/>
    </w:p>
    <w:p>
      <w:pPr>
        <w:pStyle w:val="21"/>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楷体" w:hAnsi="楷体" w:eastAsia="楷体" w:cs="楷体"/>
          <w:b w:val="0"/>
          <w:bCs/>
          <w:kern w:val="2"/>
          <w:sz w:val="32"/>
          <w:szCs w:val="22"/>
          <w:lang w:val="en-US" w:eastAsia="zh-CN" w:bidi="ar-SA"/>
        </w:rPr>
      </w:pPr>
      <w:r>
        <w:rPr>
          <w:rFonts w:hint="default" w:ascii="楷体" w:hAnsi="楷体" w:eastAsia="楷体" w:cs="楷体"/>
          <w:b w:val="0"/>
          <w:bCs/>
          <w:kern w:val="2"/>
          <w:sz w:val="32"/>
          <w:szCs w:val="22"/>
          <w:lang w:val="en-US" w:eastAsia="zh-CN" w:bidi="ar-SA"/>
        </w:rPr>
        <w:t>1.</w:t>
      </w:r>
      <w:r>
        <w:rPr>
          <w:rFonts w:hint="eastAsia" w:ascii="楷体" w:hAnsi="楷体" w:eastAsia="楷体" w:cs="楷体"/>
          <w:b w:val="0"/>
          <w:bCs/>
          <w:kern w:val="2"/>
          <w:sz w:val="32"/>
          <w:szCs w:val="22"/>
          <w:lang w:val="en-US" w:eastAsia="zh-CN" w:bidi="ar-SA"/>
        </w:rPr>
        <w:t>专业建设质量</w:t>
      </w: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计算机专业“3+2”中高职贯通班大专班继续招生，汽修专业申报的2+2+2中高职贯通班获省教育厅审批。与北京海玥文化传媒有限公司共同举行“影视传媒表演订单班”揭牌并招生，开启了产教融合的新模式。涿鹿县职教中心成功加入张家口市数字经济产教联合体并荣升副理事长单位，该校与北京和锐赛尔、北京金源隆汽车维修公司、天津格雷特公司、河北晟杰航天科技有限公司等进一步建立合作关系，提升了就业竞争力。</w:t>
      </w: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学校开设农业设备应用与维修、计算机应用、航空服务、作物生产技术、林业生产技术、幼儿保育、会计事务、汽车运用与维修、社会文化艺术、大数据技术应用、农业机械使用与维护、护理等1</w:t>
      </w:r>
      <w:r>
        <w:rPr>
          <w:rFonts w:hint="default" w:ascii="仿宋" w:hAnsi="仿宋" w:eastAsia="仿宋" w:cs="仿宋"/>
          <w:sz w:val="32"/>
          <w:szCs w:val="32"/>
          <w:lang w:val="en-US" w:eastAsia="zh-CN"/>
        </w:rPr>
        <w:t>2</w:t>
      </w:r>
      <w:r>
        <w:rPr>
          <w:rFonts w:hint="eastAsia" w:ascii="仿宋" w:hAnsi="仿宋" w:eastAsia="仿宋" w:cs="仿宋"/>
          <w:sz w:val="32"/>
          <w:szCs w:val="32"/>
          <w:lang w:val="en-US" w:eastAsia="zh-CN"/>
        </w:rPr>
        <w:t xml:space="preserve">个专业。形成了涵盖一、二、三产业的专业体系，主要骨干专业成立了专业建设指导委员会，形成了对接产业、企业、岗位的专业建设动态调整机制。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依据区域战略和产业发展需求、专业建设水平，学校坚持专业动态调整，淘汰老旧专业、做大优势专业、增设新专业。学校进一步完善现代职业教育体系建设改革措施，优化职业教育专业布局，打造特色专业，提升职业教育办学水平。</w:t>
      </w:r>
    </w:p>
    <w:p>
      <w:pPr>
        <w:pStyle w:val="21"/>
        <w:keepNext w:val="0"/>
        <w:keepLines w:val="0"/>
        <w:pageBreakBefore w:val="0"/>
        <w:widowControl w:val="0"/>
        <w:kinsoku/>
        <w:wordWrap/>
        <w:overflowPunct/>
        <w:topLinePunct w:val="0"/>
        <w:autoSpaceDE/>
        <w:autoSpaceDN/>
        <w:bidi w:val="0"/>
        <w:adjustRightInd/>
        <w:snapToGrid/>
        <w:spacing w:line="560" w:lineRule="exact"/>
        <w:ind w:left="0" w:leftChars="0" w:firstLine="620" w:firstLineChars="200"/>
        <w:jc w:val="left"/>
        <w:textAlignment w:val="auto"/>
        <w:rPr>
          <w:rFonts w:hint="eastAsia"/>
          <w:lang w:val="en-US" w:eastAsia="zh-CN"/>
        </w:rPr>
      </w:pPr>
      <w:r>
        <w:rPr>
          <w:rFonts w:hint="default" w:ascii="仿宋" w:hAnsi="仿宋" w:eastAsia="仿宋" w:cs="仿宋"/>
          <w:spacing w:val="-5"/>
          <w:kern w:val="2"/>
          <w:sz w:val="32"/>
          <w:szCs w:val="32"/>
          <w:lang w:val="en-US" w:eastAsia="zh-CN" w:bidi="ar-SA"/>
        </w:rPr>
        <w:t>1+X</w:t>
      </w:r>
      <w:r>
        <w:rPr>
          <w:rFonts w:hint="eastAsia" w:ascii="仿宋" w:hAnsi="仿宋" w:eastAsia="仿宋" w:cs="仿宋"/>
          <w:spacing w:val="-5"/>
          <w:kern w:val="2"/>
          <w:sz w:val="32"/>
          <w:szCs w:val="32"/>
          <w:lang w:val="en-US" w:eastAsia="zh-CN" w:bidi="ar-SA"/>
        </w:rPr>
        <w:t>证书制度试点工作积极推进，开展保育师、农业技术员、钳工、车工、电工、汽车维修工、计算机操作员七大工种职业技能等级认定工作，对</w:t>
      </w:r>
      <w:r>
        <w:rPr>
          <w:rFonts w:hint="default" w:ascii="仿宋" w:hAnsi="仿宋" w:eastAsia="仿宋" w:cs="仿宋"/>
          <w:spacing w:val="-5"/>
          <w:kern w:val="2"/>
          <w:sz w:val="32"/>
          <w:szCs w:val="32"/>
          <w:lang w:val="en-US" w:eastAsia="zh-CN" w:bidi="ar-SA"/>
        </w:rPr>
        <w:t>230</w:t>
      </w:r>
      <w:r>
        <w:rPr>
          <w:rFonts w:hint="eastAsia" w:ascii="仿宋" w:hAnsi="仿宋" w:eastAsia="仿宋" w:cs="仿宋"/>
          <w:spacing w:val="-5"/>
          <w:kern w:val="2"/>
          <w:sz w:val="32"/>
          <w:szCs w:val="32"/>
          <w:lang w:val="en-US" w:eastAsia="zh-CN" w:bidi="ar-SA"/>
        </w:rPr>
        <w:t>名人进行了考核认定，</w:t>
      </w:r>
      <w:r>
        <w:rPr>
          <w:rFonts w:hint="default" w:ascii="仿宋" w:hAnsi="仿宋" w:eastAsia="仿宋" w:cs="仿宋"/>
          <w:sz w:val="32"/>
          <w:szCs w:val="32"/>
          <w:lang w:val="en-US" w:eastAsia="zh-CN"/>
        </w:rPr>
        <w:t>230</w:t>
      </w:r>
      <w:r>
        <w:rPr>
          <w:rFonts w:hint="eastAsia" w:ascii="仿宋" w:hAnsi="仿宋" w:eastAsia="仿宋" w:cs="仿宋"/>
          <w:sz w:val="32"/>
          <w:szCs w:val="32"/>
          <w:lang w:val="en-US" w:eastAsia="zh-CN"/>
        </w:rPr>
        <w:t>人</w:t>
      </w:r>
      <w:r>
        <w:rPr>
          <w:rFonts w:hint="eastAsia" w:ascii="仿宋" w:hAnsi="仿宋" w:eastAsia="仿宋" w:cs="仿宋"/>
          <w:spacing w:val="-5"/>
          <w:kern w:val="2"/>
          <w:sz w:val="32"/>
          <w:szCs w:val="32"/>
          <w:lang w:val="en-US" w:eastAsia="zh-CN" w:bidi="ar-SA"/>
        </w:rPr>
        <w:t>获证</w:t>
      </w:r>
      <w:r>
        <w:rPr>
          <w:rFonts w:hint="default" w:ascii="仿宋" w:hAnsi="仿宋" w:eastAsia="仿宋" w:cs="仿宋"/>
          <w:spacing w:val="-5"/>
          <w:kern w:val="2"/>
          <w:sz w:val="32"/>
          <w:szCs w:val="32"/>
          <w:lang w:val="en-US" w:eastAsia="zh-CN" w:bidi="ar-SA"/>
        </w:rPr>
        <w:t>,</w:t>
      </w:r>
      <w:r>
        <w:rPr>
          <w:rFonts w:hint="eastAsia" w:ascii="仿宋" w:hAnsi="仿宋" w:eastAsia="仿宋" w:cs="仿宋"/>
          <w:sz w:val="32"/>
          <w:szCs w:val="32"/>
          <w:lang w:val="en-US" w:eastAsia="zh-CN"/>
        </w:rPr>
        <w:t>技能等级均为中级。此外，</w:t>
      </w:r>
      <w:r>
        <w:rPr>
          <w:rFonts w:hint="eastAsia" w:ascii="仿宋" w:hAnsi="仿宋" w:eastAsia="仿宋" w:cs="仿宋"/>
          <w:sz w:val="32"/>
          <w:szCs w:val="32"/>
        </w:rPr>
        <w:t>向上级部门申报</w:t>
      </w:r>
      <w:r>
        <w:rPr>
          <w:rFonts w:hint="eastAsia" w:ascii="仿宋" w:hAnsi="仿宋" w:eastAsia="仿宋" w:cs="仿宋"/>
          <w:sz w:val="32"/>
          <w:szCs w:val="32"/>
          <w:lang w:eastAsia="zh-CN"/>
        </w:rPr>
        <w:t>新增</w:t>
      </w:r>
      <w:r>
        <w:rPr>
          <w:rFonts w:hint="eastAsia" w:ascii="仿宋" w:hAnsi="仿宋" w:eastAsia="仿宋" w:cs="仿宋"/>
          <w:sz w:val="32"/>
          <w:szCs w:val="32"/>
        </w:rPr>
        <w:t>计算机操作员</w:t>
      </w:r>
      <w:r>
        <w:rPr>
          <w:rFonts w:hint="eastAsia" w:ascii="仿宋" w:hAnsi="仿宋" w:eastAsia="仿宋" w:cs="仿宋"/>
          <w:sz w:val="32"/>
          <w:szCs w:val="32"/>
          <w:lang w:eastAsia="zh-CN"/>
        </w:rPr>
        <w:t>、</w:t>
      </w:r>
      <w:r>
        <w:rPr>
          <w:rFonts w:hint="eastAsia" w:ascii="仿宋" w:hAnsi="仿宋" w:eastAsia="仿宋" w:cs="仿宋"/>
          <w:sz w:val="32"/>
          <w:szCs w:val="32"/>
        </w:rPr>
        <w:t>程序设计员</w:t>
      </w:r>
      <w:r>
        <w:rPr>
          <w:rFonts w:hint="eastAsia" w:ascii="仿宋" w:hAnsi="仿宋" w:eastAsia="仿宋" w:cs="仿宋"/>
          <w:sz w:val="32"/>
          <w:szCs w:val="32"/>
          <w:lang w:eastAsia="zh-CN"/>
        </w:rPr>
        <w:t>、健康照护师和养老护理员四</w:t>
      </w:r>
      <w:r>
        <w:rPr>
          <w:rFonts w:hint="eastAsia" w:ascii="仿宋" w:hAnsi="仿宋" w:eastAsia="仿宋" w:cs="仿宋"/>
          <w:sz w:val="32"/>
          <w:szCs w:val="32"/>
        </w:rPr>
        <w:t>个工种</w:t>
      </w:r>
      <w:r>
        <w:rPr>
          <w:rFonts w:hint="eastAsia" w:ascii="仿宋" w:hAnsi="仿宋" w:eastAsia="仿宋" w:cs="仿宋"/>
          <w:sz w:val="32"/>
          <w:szCs w:val="32"/>
          <w:lang w:eastAsia="zh-CN"/>
        </w:rPr>
        <w:t>的等级认定。</w:t>
      </w:r>
    </w:p>
    <w:p>
      <w:pPr>
        <w:pStyle w:val="10"/>
        <w:keepNext w:val="0"/>
        <w:keepLines w:val="0"/>
        <w:pageBreakBefore w:val="0"/>
        <w:widowControl w:val="0"/>
        <w:kinsoku/>
        <w:wordWrap/>
        <w:overflowPunct/>
        <w:topLinePunct w:val="0"/>
        <w:autoSpaceDE/>
        <w:autoSpaceDN/>
        <w:bidi w:val="0"/>
        <w:adjustRightInd/>
        <w:snapToGrid/>
        <w:spacing w:line="560" w:lineRule="exact"/>
        <w:ind w:left="0" w:leftChars="0" w:firstLine="482" w:firstLineChars="200"/>
        <w:jc w:val="left"/>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 xml:space="preserve">典型案例 </w:t>
      </w:r>
      <w:r>
        <w:rPr>
          <w:rFonts w:hint="eastAsia" w:ascii="仿宋" w:hAnsi="仿宋" w:eastAsia="仿宋" w:cs="仿宋"/>
          <w:b/>
          <w:bCs/>
          <w:kern w:val="2"/>
          <w:sz w:val="24"/>
          <w:szCs w:val="24"/>
          <w:lang w:val="en-US" w:eastAsia="zh-CN" w:bidi="ar-SA"/>
        </w:rPr>
        <w:fldChar w:fldCharType="begin"/>
      </w:r>
      <w:r>
        <w:rPr>
          <w:rFonts w:hint="eastAsia" w:ascii="仿宋" w:hAnsi="仿宋" w:eastAsia="仿宋" w:cs="仿宋"/>
          <w:b/>
          <w:bCs/>
          <w:kern w:val="2"/>
          <w:sz w:val="24"/>
          <w:szCs w:val="24"/>
          <w:lang w:val="en-US" w:eastAsia="zh-CN" w:bidi="ar-SA"/>
        </w:rPr>
        <w:instrText xml:space="preserve"> SEQ 典型案例 \* ARABIC </w:instrText>
      </w:r>
      <w:r>
        <w:rPr>
          <w:rFonts w:hint="eastAsia" w:ascii="仿宋" w:hAnsi="仿宋" w:eastAsia="仿宋" w:cs="仿宋"/>
          <w:b/>
          <w:bCs/>
          <w:kern w:val="2"/>
          <w:sz w:val="24"/>
          <w:szCs w:val="24"/>
          <w:lang w:val="en-US" w:eastAsia="zh-CN" w:bidi="ar-SA"/>
        </w:rPr>
        <w:fldChar w:fldCharType="separate"/>
      </w:r>
      <w:r>
        <w:rPr>
          <w:rFonts w:hint="eastAsia" w:ascii="仿宋" w:hAnsi="仿宋" w:eastAsia="仿宋" w:cs="仿宋"/>
          <w:b/>
          <w:bCs/>
          <w:kern w:val="2"/>
          <w:sz w:val="24"/>
          <w:szCs w:val="24"/>
          <w:lang w:val="en-US" w:eastAsia="zh-CN" w:bidi="ar-SA"/>
        </w:rPr>
        <w:t>4</w:t>
      </w:r>
      <w:r>
        <w:rPr>
          <w:rFonts w:hint="eastAsia" w:ascii="仿宋" w:hAnsi="仿宋" w:eastAsia="仿宋" w:cs="仿宋"/>
          <w:b/>
          <w:bCs/>
          <w:kern w:val="2"/>
          <w:sz w:val="24"/>
          <w:szCs w:val="24"/>
          <w:lang w:val="en-US" w:eastAsia="zh-CN" w:bidi="ar-SA"/>
        </w:rPr>
        <w:fldChar w:fldCharType="end"/>
      </w:r>
      <w:bookmarkStart w:id="59" w:name="_Toc15114"/>
      <w:bookmarkEnd w:id="59"/>
      <w:bookmarkStart w:id="60" w:name="_Toc26353"/>
      <w:bookmarkEnd w:id="60"/>
    </w:p>
    <w:p>
      <w:pPr>
        <w:pStyle w:val="1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center"/>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涿鹿职教出战县第34届中小学田运会载誉而归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91008" behindDoc="0" locked="0" layoutInCell="1" allowOverlap="1">
            <wp:simplePos x="0" y="0"/>
            <wp:positionH relativeFrom="column">
              <wp:posOffset>236220</wp:posOffset>
            </wp:positionH>
            <wp:positionV relativeFrom="paragraph">
              <wp:posOffset>2983230</wp:posOffset>
            </wp:positionV>
            <wp:extent cx="5212715" cy="2983865"/>
            <wp:effectExtent l="0" t="0" r="14605" b="3175"/>
            <wp:wrapTopAndBottom/>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33" r:link="rId34"/>
                    <a:stretch>
                      <a:fillRect/>
                    </a:stretch>
                  </pic:blipFill>
                  <pic:spPr>
                    <a:xfrm>
                      <a:off x="0" y="0"/>
                      <a:ext cx="5212715" cy="2983865"/>
                    </a:xfrm>
                    <a:prstGeom prst="rect">
                      <a:avLst/>
                    </a:prstGeom>
                    <a:noFill/>
                    <a:ln w="9525">
                      <a:noFill/>
                      <a:miter/>
                    </a:ln>
                  </pic:spPr>
                </pic:pic>
              </a:graphicData>
            </a:graphic>
          </wp:anchor>
        </w:drawing>
      </w:r>
      <w:r>
        <w:rPr>
          <w:rFonts w:hint="eastAsia" w:ascii="仿宋" w:hAnsi="仿宋" w:eastAsia="仿宋" w:cs="仿宋"/>
          <w:sz w:val="32"/>
          <w:szCs w:val="32"/>
          <w:lang w:val="en-US" w:eastAsia="zh-CN"/>
        </w:rPr>
        <w:t>涿鹿县职教中心代表队20名运动员出战涿鹿县第34届中小学生田径运动会大捷。经过三个比赛日的精彩角逐，该校以总分369分并领先第二名134分的绝对优势，取得“团体总分第一名”的骄人成绩，摘得27枚金牌、13枚银牌、6枚铜牌。王炜、乔楠、崔文同学分别打破200米跑、400米跑、800米跑县运会纪录，乔楠、崔文、张宇琦、郭文辉打破男子4*400米接力县运会纪录，王炜、盛兆银、张宇琦、赵羽凡打破县运会男子4*100米接力县运会纪录。学校获“道德风尚奖”。学校</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20" w:firstLineChars="200"/>
        <w:jc w:val="center"/>
        <w:textAlignment w:val="auto"/>
        <w:outlineLvl w:val="9"/>
        <w:rPr>
          <w:rFonts w:hint="eastAsia" w:ascii="仿宋" w:hAnsi="仿宋" w:eastAsia="仿宋" w:cs="仿宋"/>
          <w:spacing w:val="-5"/>
          <w:kern w:val="2"/>
          <w:sz w:val="32"/>
          <w:szCs w:val="32"/>
          <w:lang w:val="en-US" w:eastAsia="zh-CN" w:bidi="ar-SA"/>
        </w:rPr>
      </w:pPr>
      <w:r>
        <w:t xml:space="preserve">图 </w:t>
      </w:r>
      <w:r>
        <w:fldChar w:fldCharType="begin"/>
      </w:r>
      <w:r>
        <w:instrText xml:space="preserve"> SEQ 图 \* ARABIC </w:instrText>
      </w:r>
      <w:r>
        <w:fldChar w:fldCharType="separate"/>
      </w:r>
      <w:r>
        <w:t>8</w:t>
      </w:r>
      <w:r>
        <w:fldChar w:fldCharType="end"/>
      </w:r>
      <w:bookmarkStart w:id="61" w:name="_Toc25183"/>
      <w:bookmarkStart w:id="62" w:name="_Toc20578"/>
      <w:r>
        <w:rPr>
          <w:rFonts w:hint="eastAsia"/>
          <w:lang w:val="en-US" w:eastAsia="zh-CN"/>
        </w:rPr>
        <w:t>涿鹿职教师生在运动会上合影</w:t>
      </w:r>
      <w:bookmarkEnd w:id="61"/>
      <w:bookmarkEnd w:id="6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spacing w:val="-5"/>
          <w:kern w:val="2"/>
          <w:sz w:val="32"/>
          <w:szCs w:val="32"/>
          <w:lang w:val="en-US" w:eastAsia="zh-CN" w:bidi="ar-SA"/>
        </w:rPr>
      </w:pPr>
      <w:r>
        <w:rPr>
          <w:rFonts w:hint="eastAsia" w:ascii="仿宋" w:hAnsi="仿宋" w:eastAsia="仿宋" w:cs="仿宋"/>
          <w:sz w:val="32"/>
          <w:szCs w:val="32"/>
          <w:lang w:val="en-US" w:eastAsia="zh-CN"/>
        </w:rPr>
        <w:t>礼仪服务队全程服务运</w:t>
      </w:r>
      <w:r>
        <w:rPr>
          <w:rFonts w:hint="eastAsia" w:ascii="仿宋" w:hAnsi="仿宋" w:eastAsia="仿宋" w:cs="仿宋"/>
          <w:spacing w:val="-5"/>
          <w:kern w:val="2"/>
          <w:sz w:val="32"/>
          <w:szCs w:val="32"/>
          <w:lang w:val="en-US" w:eastAsia="zh-CN" w:bidi="ar-SA"/>
        </w:rPr>
        <w:t>动会开幕式、颁奖典礼和闭幕式。</w:t>
      </w:r>
      <w:bookmarkStart w:id="63" w:name="_Toc11658"/>
      <w:r>
        <w:rPr>
          <w:rFonts w:hint="default" w:ascii="仿宋" w:hAnsi="仿宋" w:eastAsia="仿宋" w:cs="仿宋"/>
          <w:spacing w:val="-5"/>
          <w:kern w:val="2"/>
          <w:sz w:val="32"/>
          <w:szCs w:val="32"/>
          <w:lang w:val="en-US" w:eastAsia="zh-CN" w:bidi="ar-SA"/>
        </w:rPr>
        <w:t xml:space="preserve">   </w:t>
      </w:r>
      <w:bookmarkEnd w:id="63"/>
    </w:p>
    <w:p>
      <w:pPr>
        <w:pStyle w:val="2"/>
        <w:keepNext w:val="0"/>
        <w:keepLines w:val="0"/>
        <w:pageBreakBefore w:val="0"/>
        <w:widowControl w:val="0"/>
        <w:kinsoku/>
        <w:wordWrap/>
        <w:overflowPunct/>
        <w:topLinePunct w:val="0"/>
        <w:autoSpaceDE/>
        <w:autoSpaceDN/>
        <w:bidi w:val="0"/>
        <w:adjustRightInd/>
        <w:snapToGrid/>
        <w:spacing w:before="0" w:line="560" w:lineRule="exact"/>
        <w:ind w:left="0" w:leftChars="0" w:right="0" w:rightChars="0" w:firstLine="640" w:firstLineChars="200"/>
        <w:jc w:val="left"/>
        <w:textAlignment w:val="auto"/>
        <w:outlineLvl w:val="9"/>
        <w:rPr>
          <w:rFonts w:hint="default"/>
          <w:lang w:val="en-US" w:eastAsia="zh-CN"/>
        </w:rPr>
      </w:pPr>
      <w:r>
        <w:rPr>
          <w:rFonts w:hint="eastAsia" w:ascii="仿宋" w:hAnsi="仿宋" w:eastAsia="仿宋" w:cs="仿宋"/>
          <w:lang w:val="en-US" w:eastAsia="zh-CN"/>
        </w:rPr>
        <w:t>这一切成绩的取得，是学校“体教融合”发展过程中专业建设提升的必然结果。62个大奖的取得，源自于队员们的挥汗如雨、刻苦训练，源自于教练们的悉心指导、严格要求，源自于队员们的团结互助、抱团拼搏，源自于校领导的大力支持和家长们的密切配合。比赛圆满结束，但奋进的脚步不会停歇。未来，涿鹿职教的体教事业定会更加辉辉，涿鹿职教的运动健儿们会更加努力。</w:t>
      </w:r>
      <w:r>
        <w:rPr>
          <w:rFonts w:hint="default" w:ascii="仿宋" w:hAnsi="仿宋" w:eastAsia="仿宋" w:cs="仿宋"/>
          <w:spacing w:val="-5"/>
          <w:kern w:val="2"/>
          <w:sz w:val="32"/>
          <w:szCs w:val="32"/>
          <w:lang w:val="en-US" w:eastAsia="zh-CN" w:bidi="ar-SA"/>
        </w:rPr>
        <w:t xml:space="preserve"> </w:t>
      </w:r>
      <w:r>
        <w:rPr>
          <w:rFonts w:hint="default" w:ascii="仿宋" w:hAnsi="仿宋" w:eastAsia="仿宋" w:cs="仿宋"/>
          <w:sz w:val="32"/>
          <w:szCs w:val="32"/>
          <w:lang w:val="en-US" w:eastAsia="zh-CN"/>
        </w:rPr>
        <w:t xml:space="preserve">                                                                                                       </w:t>
      </w:r>
    </w:p>
    <w:p>
      <w:pPr>
        <w:pStyle w:val="21"/>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楷体" w:hAnsi="楷体" w:eastAsia="楷体" w:cs="楷体"/>
          <w:b w:val="0"/>
          <w:bCs/>
          <w:kern w:val="2"/>
          <w:sz w:val="32"/>
          <w:szCs w:val="22"/>
          <w:lang w:val="en-US" w:eastAsia="zh-CN" w:bidi="ar-SA"/>
        </w:rPr>
      </w:pPr>
      <w:r>
        <w:rPr>
          <w:rFonts w:hint="eastAsia" w:ascii="楷体" w:hAnsi="楷体" w:eastAsia="楷体" w:cs="楷体"/>
          <w:b w:val="0"/>
          <w:bCs/>
          <w:kern w:val="2"/>
          <w:sz w:val="32"/>
          <w:szCs w:val="22"/>
          <w:lang w:val="en-US" w:eastAsia="zh-CN" w:bidi="ar-SA"/>
        </w:rPr>
        <w:t>2.课程建设质量</w:t>
      </w:r>
    </w:p>
    <w:p>
      <w:pPr>
        <w:keepNext w:val="0"/>
        <w:keepLines w:val="0"/>
        <w:pageBreakBefore w:val="0"/>
        <w:widowControl w:val="0"/>
        <w:numPr>
          <w:ilvl w:val="0"/>
          <w:numId w:val="0"/>
        </w:numPr>
        <w:shd w:val="clear" w:fill="FFFFFF" w:themeFill="background1"/>
        <w:kinsoku/>
        <w:wordWrap/>
        <w:overflowPunct/>
        <w:topLinePunct w:val="0"/>
        <w:autoSpaceDE/>
        <w:autoSpaceDN/>
        <w:bidi w:val="0"/>
        <w:adjustRightInd/>
        <w:snapToGrid/>
        <w:spacing w:line="560" w:lineRule="exact"/>
        <w:ind w:right="0" w:rightChars="0" w:firstLine="640" w:firstLineChars="200"/>
        <w:jc w:val="left"/>
        <w:textAlignment w:val="auto"/>
        <w:outlineLvl w:val="9"/>
        <w:rPr>
          <w:rFonts w:hint="eastAsia" w:ascii="楷体" w:hAnsi="楷体" w:eastAsia="楷体" w:cs="仿宋"/>
          <w:color w:val="000000"/>
          <w:sz w:val="32"/>
          <w:szCs w:val="32"/>
        </w:rPr>
      </w:pPr>
      <w:r>
        <w:rPr>
          <w:rFonts w:hint="eastAsia" w:ascii="仿宋" w:hAnsi="仿宋" w:eastAsia="仿宋"/>
          <w:sz w:val="32"/>
          <w:szCs w:val="32"/>
          <w:lang w:val="en-US" w:eastAsia="zh-CN"/>
        </w:rPr>
        <w:t>202</w:t>
      </w:r>
      <w:r>
        <w:rPr>
          <w:rFonts w:hint="default" w:ascii="仿宋" w:hAnsi="仿宋" w:eastAsia="仿宋"/>
          <w:sz w:val="32"/>
          <w:szCs w:val="32"/>
          <w:lang w:val="en-US" w:eastAsia="zh-CN"/>
        </w:rPr>
        <w:t>4</w:t>
      </w:r>
      <w:r>
        <w:rPr>
          <w:rFonts w:hint="eastAsia" w:ascii="仿宋" w:hAnsi="仿宋" w:eastAsia="仿宋"/>
          <w:sz w:val="32"/>
          <w:szCs w:val="32"/>
          <w:lang w:val="en-US" w:eastAsia="zh-CN"/>
        </w:rPr>
        <w:t>年学校进一步深化教学改革，积极探索专业课程结构、教学内容、教学方式与方法等方面的改革，落实五年一轮的教师全员培训制度，全面提高教学质量。该校就业部各专业成立了由多家企业组成的专业指导委员会，共同分析专门化岗位需求，确定从业人员的能力结构，设置相应的活动课程，形成以项目课程为主体的模块化专业课程体系。在教学组织和教学方法上，</w:t>
      </w:r>
      <w:r>
        <w:rPr>
          <w:rFonts w:hint="eastAsia" w:ascii="仿宋" w:hAnsi="仿宋" w:eastAsia="仿宋"/>
          <w:sz w:val="32"/>
          <w:szCs w:val="32"/>
          <w:lang w:val="zh-CN" w:eastAsia="zh-CN"/>
        </w:rPr>
        <w:t>根据专业与课程特点，灵活采取任务驱动、项目教学、行动导向、案例分析等以学生为主体的教学方法。比如：</w:t>
      </w:r>
      <w:r>
        <w:rPr>
          <w:rFonts w:hint="eastAsia" w:ascii="仿宋" w:hAnsi="仿宋" w:eastAsia="仿宋"/>
          <w:sz w:val="32"/>
          <w:szCs w:val="32"/>
          <w:lang w:val="en-US" w:eastAsia="zh-CN"/>
        </w:rPr>
        <w:t>农机设备应用与维修技术和汽</w:t>
      </w:r>
      <w:r>
        <w:rPr>
          <w:rFonts w:hint="eastAsia" w:ascii="仿宋" w:hAnsi="仿宋" w:eastAsia="仿宋" w:cs="仿宋"/>
          <w:color w:val="auto"/>
          <w:sz w:val="32"/>
          <w:szCs w:val="32"/>
          <w:lang w:val="en-US" w:eastAsia="zh-CN"/>
        </w:rPr>
        <w:t>车运用与维修专业</w:t>
      </w:r>
      <w:r>
        <w:rPr>
          <w:rFonts w:hint="eastAsia" w:ascii="仿宋" w:hAnsi="仿宋" w:eastAsia="仿宋" w:cs="仿宋"/>
          <w:color w:val="auto"/>
          <w:sz w:val="32"/>
          <w:szCs w:val="32"/>
          <w:lang w:val="zh-CN" w:eastAsia="zh-CN"/>
        </w:rPr>
        <w:t>从企业生产实际设定教学</w:t>
      </w:r>
      <w:r>
        <w:rPr>
          <w:rFonts w:hint="eastAsia" w:ascii="仿宋" w:hAnsi="仿宋" w:eastAsia="仿宋" w:cs="仿宋"/>
          <w:color w:val="auto"/>
          <w:sz w:val="32"/>
          <w:szCs w:val="32"/>
          <w:lang w:val="en-US" w:eastAsia="zh-CN"/>
        </w:rPr>
        <w:t>任务，将课堂搬到车间，现场实践、现场答疑，采取“做中学，学中做”的教学组织形式，给学生尽可能创设真实的职业氛围，实行课堂、车间“一体化”教学；计算机应用、会计事务等专业则以小组为单位进行项目教学，在完成工作项目的同时，不断提高自身素质、掌握所需要的技能。</w:t>
      </w:r>
      <w:r>
        <w:rPr>
          <w:rFonts w:hint="eastAsia" w:ascii="楷体" w:hAnsi="楷体" w:eastAsia="楷体" w:cs="仿宋"/>
          <w:color w:val="000000"/>
          <w:sz w:val="32"/>
          <w:szCs w:val="32"/>
        </w:rPr>
        <w:t xml:space="preserve">                                                </w:t>
      </w:r>
    </w:p>
    <w:p>
      <w:pPr>
        <w:pStyle w:val="21"/>
        <w:ind w:left="0" w:leftChars="0" w:firstLine="640" w:firstLineChars="200"/>
        <w:rPr>
          <w:rFonts w:hint="eastAsia" w:ascii="楷体" w:hAnsi="楷体" w:eastAsia="楷体" w:cs="楷体"/>
          <w:b w:val="0"/>
          <w:bCs/>
          <w:kern w:val="2"/>
          <w:sz w:val="32"/>
          <w:szCs w:val="22"/>
          <w:lang w:val="en-US" w:eastAsia="zh-CN" w:bidi="ar-SA"/>
        </w:rPr>
      </w:pPr>
      <w:r>
        <w:rPr>
          <w:rFonts w:hint="default" w:ascii="楷体" w:hAnsi="楷体" w:eastAsia="楷体" w:cs="楷体"/>
          <w:b w:val="0"/>
          <w:bCs/>
          <w:kern w:val="2"/>
          <w:sz w:val="32"/>
          <w:szCs w:val="22"/>
          <w:lang w:val="en-US" w:eastAsia="zh-CN" w:bidi="ar-SA"/>
        </w:rPr>
        <w:t>3.</w:t>
      </w:r>
      <w:r>
        <w:rPr>
          <w:rFonts w:hint="eastAsia" w:ascii="楷体" w:hAnsi="楷体" w:eastAsia="楷体" w:cs="楷体"/>
          <w:b w:val="0"/>
          <w:bCs/>
          <w:kern w:val="2"/>
          <w:sz w:val="32"/>
          <w:szCs w:val="22"/>
          <w:lang w:val="en-US" w:eastAsia="zh-CN" w:bidi="ar-SA"/>
        </w:rPr>
        <w:t>教学方法改革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该校课堂教学改革的总体目标是：以教材为依据，以学生为主体，以训练为主线，以培养学生的创新精神和实践能力为根本宗旨。倡导自主学习、合作学习、探究学习新型的学习方式，构建自主高效的课堂教学模式。积极推广翻转课堂、混合式教学等新型教学模式，普及项目教学、模块化教学等教学方式，注重学生的主体参与，体现生生互动和师生互动，关注学生的兴趣、动机、情感和态度，突出思维开发和能力培养；面向全体，分层实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仿宋" w:hAnsi="仿宋" w:eastAsia="仿宋" w:cs="仿宋"/>
          <w:sz w:val="32"/>
          <w:szCs w:val="32"/>
          <w:lang w:val="en-US" w:eastAsia="zh-CN"/>
        </w:rPr>
        <w:t>学校高度重视教师信息技术应用能力和信息化教学水平的提升，大力推广信息技术在教学中的应用，鼓励教师在教学中使用微课、网络平台等信息化手段，鼓励和积极组织教师参加各级各类信息化教学大赛。本学年，教务处组织了优质课、公开课、说课、教学设计比赛等活动，通过比赛，发现教师们具有全新的教学理念，多种信息化手段辅助教学，以独具匠心的设计、扎实的教学基本功、灵活丰富的教学方法，彰显个人教学魅力，课堂精彩不断，把职业素养教育贯穿于整个教学过程。此次比赛，展示了职教中心教师教学理念的转变，体现了良好的个人素养和专业技能，同时也进一步激发了教师的潜能，有效促进了教师课堂教学能力的进一步提高，对该校师资队伍建设和人才培养产生了积极作用。</w:t>
      </w:r>
    </w:p>
    <w:p>
      <w:pPr>
        <w:pStyle w:val="21"/>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楷体" w:hAnsi="楷体" w:eastAsia="楷体" w:cs="楷体"/>
          <w:b w:val="0"/>
          <w:bCs/>
          <w:kern w:val="2"/>
          <w:sz w:val="32"/>
          <w:szCs w:val="22"/>
          <w:lang w:val="en-US" w:eastAsia="zh-CN" w:bidi="ar-SA"/>
        </w:rPr>
      </w:pPr>
      <w:r>
        <w:rPr>
          <w:rFonts w:hint="default" w:ascii="楷体" w:hAnsi="楷体" w:eastAsia="楷体" w:cs="楷体"/>
          <w:b w:val="0"/>
          <w:bCs/>
          <w:kern w:val="2"/>
          <w:sz w:val="32"/>
          <w:szCs w:val="22"/>
          <w:lang w:val="en-US" w:eastAsia="zh-CN" w:bidi="ar-SA"/>
        </w:rPr>
        <w:t>4.</w:t>
      </w:r>
      <w:r>
        <w:rPr>
          <w:rFonts w:hint="eastAsia" w:ascii="楷体" w:hAnsi="楷体" w:eastAsia="楷体" w:cs="楷体"/>
          <w:b w:val="0"/>
          <w:bCs/>
          <w:kern w:val="2"/>
          <w:sz w:val="32"/>
          <w:szCs w:val="22"/>
          <w:lang w:val="en-US" w:eastAsia="zh-CN" w:bidi="ar-SA"/>
        </w:rPr>
        <w:t>教学资源建设</w:t>
      </w:r>
    </w:p>
    <w:p>
      <w:pPr>
        <w:keepNext w:val="0"/>
        <w:keepLines w:val="0"/>
        <w:pageBreakBefore w:val="0"/>
        <w:widowControl w:val="0"/>
        <w:shd w:val="clear" w:fill="FFFFFF" w:themeFill="background1"/>
        <w:tabs>
          <w:tab w:val="left" w:pos="840"/>
        </w:tabs>
        <w:kinsoku/>
        <w:wordWrap/>
        <w:overflowPunct w:val="0"/>
        <w:topLinePunct/>
        <w:autoSpaceDE/>
        <w:autoSpaceDN/>
        <w:bidi w:val="0"/>
        <w:adjustRightInd w:val="0"/>
        <w:snapToGrid w:val="0"/>
        <w:spacing w:afterAutospacing="0" w:line="560" w:lineRule="exact"/>
        <w:ind w:left="0" w:leftChars="0" w:right="0" w:rightChars="0" w:firstLine="640" w:firstLineChars="200"/>
        <w:jc w:val="left"/>
        <w:textAlignment w:val="auto"/>
        <w:outlineLvl w:val="9"/>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rPr>
        <w:t>学校高度重视</w:t>
      </w:r>
      <w:r>
        <w:rPr>
          <w:rFonts w:hint="eastAsia" w:ascii="仿宋" w:hAnsi="仿宋" w:eastAsia="仿宋" w:cs="仿宋"/>
          <w:color w:val="000000"/>
          <w:sz w:val="32"/>
          <w:szCs w:val="32"/>
          <w:lang w:val="en-US" w:eastAsia="zh-CN"/>
        </w:rPr>
        <w:t>数字化教学资源建设，学校总出口宽带</w:t>
      </w:r>
      <w:r>
        <w:rPr>
          <w:rFonts w:hint="default" w:ascii="仿宋" w:hAnsi="仿宋" w:eastAsia="仿宋" w:cs="仿宋"/>
          <w:color w:val="000000"/>
          <w:sz w:val="32"/>
          <w:szCs w:val="32"/>
          <w:lang w:val="en-US" w:eastAsia="zh-CN"/>
        </w:rPr>
        <w:t>2</w:t>
      </w:r>
      <w:r>
        <w:rPr>
          <w:rFonts w:hint="eastAsia" w:ascii="仿宋" w:hAnsi="仿宋" w:eastAsia="仿宋" w:cs="仿宋"/>
          <w:color w:val="000000"/>
          <w:sz w:val="32"/>
          <w:szCs w:val="32"/>
          <w:lang w:val="en-US" w:eastAsia="zh-CN"/>
        </w:rPr>
        <w:t>00M，基本能满足现代智能化校园发展的需要。学校拥有职教云教育平台，实现了职业学校的教育资源共享、便捷管理及大数据分析，学校正在打造智慧化、信息化的数字校园。</w:t>
      </w:r>
    </w:p>
    <w:p>
      <w:pPr>
        <w:keepNext w:val="0"/>
        <w:keepLines w:val="0"/>
        <w:pageBreakBefore w:val="0"/>
        <w:widowControl w:val="0"/>
        <w:shd w:val="clear" w:fill="FFFFFF" w:themeFill="background1"/>
        <w:tabs>
          <w:tab w:val="left" w:pos="840"/>
        </w:tabs>
        <w:kinsoku/>
        <w:wordWrap/>
        <w:overflowPunct w:val="0"/>
        <w:topLinePunct/>
        <w:autoSpaceDE/>
        <w:autoSpaceDN/>
        <w:bidi w:val="0"/>
        <w:adjustRightInd w:val="0"/>
        <w:snapToGrid w:val="0"/>
        <w:spacing w:afterAutospacing="0" w:line="560" w:lineRule="exact"/>
        <w:ind w:left="0" w:leftChars="0" w:right="0" w:rightChars="0" w:firstLine="640" w:firstLineChars="200"/>
        <w:jc w:val="left"/>
        <w:textAlignment w:val="auto"/>
        <w:outlineLvl w:val="9"/>
        <w:rPr>
          <w:rFonts w:hint="default"/>
          <w:lang w:val="en-US" w:eastAsia="zh-CN"/>
        </w:rPr>
      </w:pPr>
      <w:r>
        <w:rPr>
          <w:rFonts w:hint="eastAsia" w:ascii="仿宋" w:hAnsi="仿宋" w:eastAsia="仿宋" w:cs="仿宋"/>
          <w:color w:val="000000"/>
          <w:sz w:val="32"/>
          <w:szCs w:val="32"/>
          <w:lang w:val="en-US" w:eastAsia="zh-CN"/>
        </w:rPr>
        <w:t xml:space="preserve">学校投资138.38万元，安装了智慧教学系统，为学校构建完整的信息化教学生态体系，为教学提供了一站式网络综合服务。使该校教学互动方式更加丰富，学习过程记录更加完整，教学资源更加全面，教学评价更加科学，充分展现该校教育改革和发展的新水平。此外还将追加投资近20万元（预算），建立该校教学诊改大数据分析决策平台，提供教师、学生、专业、科研、校企合作、财务、等校情数据统计与分析，为决策者提供辅助支持。           </w:t>
      </w:r>
      <w:r>
        <w:rPr>
          <w:rFonts w:hint="eastAsia" w:ascii="仿宋" w:hAnsi="仿宋" w:eastAsia="仿宋" w:cs="仿宋"/>
          <w:sz w:val="32"/>
          <w:szCs w:val="32"/>
        </w:rPr>
        <w:t xml:space="preserve">            </w:t>
      </w:r>
      <w:r>
        <w:rPr>
          <w:rFonts w:hint="eastAsia" w:ascii="宋体" w:hAnsi="宋体" w:eastAsia="宋体" w:cs="宋体"/>
          <w:sz w:val="32"/>
          <w:szCs w:val="32"/>
        </w:rPr>
        <w:t xml:space="preserve"> </w:t>
      </w:r>
    </w:p>
    <w:p>
      <w:pPr>
        <w:pStyle w:val="21"/>
        <w:ind w:left="0" w:leftChars="0" w:firstLine="640" w:firstLineChars="200"/>
        <w:rPr>
          <w:rFonts w:hint="eastAsia" w:ascii="楷体" w:hAnsi="楷体" w:eastAsia="楷体" w:cs="楷体"/>
          <w:b w:val="0"/>
          <w:bCs/>
          <w:kern w:val="2"/>
          <w:sz w:val="32"/>
          <w:szCs w:val="22"/>
          <w:lang w:val="en-US" w:eastAsia="zh-CN" w:bidi="ar-SA"/>
        </w:rPr>
      </w:pPr>
      <w:r>
        <w:rPr>
          <w:rFonts w:hint="default" w:ascii="楷体" w:hAnsi="楷体" w:eastAsia="楷体" w:cs="楷体"/>
          <w:b w:val="0"/>
          <w:bCs/>
          <w:kern w:val="2"/>
          <w:sz w:val="32"/>
          <w:szCs w:val="22"/>
          <w:lang w:val="en-US" w:eastAsia="zh-CN" w:bidi="ar-SA"/>
        </w:rPr>
        <w:t>5.</w:t>
      </w:r>
      <w:r>
        <w:rPr>
          <w:rFonts w:hint="eastAsia" w:ascii="楷体" w:hAnsi="楷体" w:eastAsia="楷体" w:cs="楷体"/>
          <w:b w:val="0"/>
          <w:bCs/>
          <w:kern w:val="2"/>
          <w:sz w:val="32"/>
          <w:szCs w:val="22"/>
          <w:lang w:val="en-US" w:eastAsia="zh-CN" w:bidi="ar-SA"/>
        </w:rPr>
        <w:t>师资队伍建设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kern w:val="0"/>
          <w:sz w:val="32"/>
          <w:szCs w:val="32"/>
          <w:lang w:val="en-US" w:eastAsia="zh-CN" w:bidi="ar"/>
        </w:rPr>
      </w:pPr>
      <w:r>
        <w:rPr>
          <w:rFonts w:hint="default" w:ascii="仿宋" w:hAnsi="仿宋" w:eastAsia="仿宋" w:cs="仿宋"/>
          <w:kern w:val="0"/>
          <w:sz w:val="32"/>
          <w:szCs w:val="32"/>
          <w:lang w:val="en-US" w:eastAsia="zh-CN" w:bidi="ar"/>
        </w:rPr>
        <w:t>制定《涿鹿县职业技术教育中心师资队伍建设规划》《干部培养制度》《后备干部培养方案》《师徒结对协议》《青年教师培养方案》形成了有效的师资队伍建设机制和选拔培养考核评价制度体系。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kern w:val="0"/>
          <w:sz w:val="32"/>
          <w:szCs w:val="32"/>
          <w:lang w:val="en-US" w:eastAsia="zh-CN" w:bidi="ar"/>
        </w:rPr>
      </w:pPr>
      <w:r>
        <w:rPr>
          <w:rFonts w:hint="default" w:ascii="仿宋" w:hAnsi="仿宋" w:eastAsia="仿宋" w:cs="仿宋"/>
          <w:kern w:val="0"/>
          <w:sz w:val="32"/>
          <w:szCs w:val="32"/>
          <w:lang w:val="en-US" w:eastAsia="zh-CN" w:bidi="ar"/>
        </w:rPr>
        <w:t>制定《校企合作师资队伍建设方案》，建设校企互聘共用的教师队伍。完善双导师制，建立健全双导师的选拔、培养、考核、激励制度，形成校企互聘共用的管理机制。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kern w:val="0"/>
          <w:sz w:val="32"/>
          <w:szCs w:val="32"/>
          <w:lang w:val="en-US" w:eastAsia="zh-CN" w:bidi="ar"/>
        </w:rPr>
      </w:pPr>
      <w:r>
        <w:rPr>
          <w:rFonts w:hint="default" w:ascii="仿宋" w:hAnsi="仿宋" w:eastAsia="仿宋" w:cs="仿宋"/>
          <w:kern w:val="0"/>
          <w:sz w:val="32"/>
          <w:szCs w:val="32"/>
          <w:lang w:val="en-US" w:eastAsia="zh-CN" w:bidi="ar"/>
        </w:rPr>
        <w:t>校企共建“双师型”教师培养培训基地和教师企业实践基地，双方共同建立人才培养实训基地。乙方在甲方挂牌设立“北京金源隆汽车维修站人才培养基地 ”。双方开展教学，实习、教研等方面的合作。</w:t>
      </w:r>
      <w:r>
        <w:rPr>
          <w:rFonts w:hint="eastAsia" w:ascii="仿宋" w:hAnsi="仿宋" w:eastAsia="仿宋" w:cs="仿宋"/>
          <w:kern w:val="0"/>
          <w:sz w:val="32"/>
          <w:szCs w:val="32"/>
          <w:lang w:val="en-US" w:eastAsia="zh-CN" w:bidi="ar"/>
        </w:rPr>
        <w:t>有15位教师完成了企业实践。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kern w:val="0"/>
          <w:sz w:val="32"/>
          <w:szCs w:val="32"/>
          <w:lang w:val="en-US" w:eastAsia="zh-CN" w:bidi="ar"/>
        </w:rPr>
      </w:pPr>
      <w:r>
        <w:rPr>
          <w:rFonts w:hint="default" w:ascii="仿宋" w:hAnsi="仿宋" w:eastAsia="仿宋" w:cs="仿宋"/>
          <w:kern w:val="0"/>
          <w:sz w:val="32"/>
          <w:szCs w:val="32"/>
          <w:lang w:val="en-US" w:eastAsia="zh-CN" w:bidi="ar"/>
        </w:rPr>
        <w:t>为适应职业教育的特殊需求，学校把培养能说会做的“双师型教师”作为师资队伍建设工作的重要内容。制定《涿鹿县职业技术教育中心师资队伍年度培训计划》，每年选派专业教师参加各级各类专业技能培训，获取专业技能等级证或操作证，使之成为“双师型”教师；积极选送青年教师到企业进入行业顶岗锻炼，与行业零距离接触，提高自身的专业能力；定期在校内开展青年教师培养工作，有效提高了教师的综合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kern w:val="0"/>
          <w:sz w:val="32"/>
          <w:szCs w:val="32"/>
          <w:lang w:val="en-US" w:eastAsia="zh-CN" w:bidi="ar"/>
        </w:rPr>
      </w:pPr>
      <w:r>
        <w:rPr>
          <w:rFonts w:hint="default" w:ascii="仿宋" w:hAnsi="仿宋" w:eastAsia="仿宋" w:cs="仿宋"/>
          <w:kern w:val="0"/>
          <w:sz w:val="32"/>
          <w:szCs w:val="32"/>
          <w:lang w:val="en-US" w:eastAsia="zh-CN" w:bidi="ar"/>
        </w:rPr>
        <w:t>学校积极争取市教育局的支持，选派优秀专业教师参加国家级、省级中等职业学校骨干教师培训。一年来，学校选派5名骨干教师参加国家级培训，线上省级教材培训34人，同时组织教师全员培训，组织校本培训。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kern w:val="0"/>
          <w:sz w:val="32"/>
          <w:szCs w:val="32"/>
          <w:lang w:val="en-US" w:eastAsia="zh-CN" w:bidi="ar"/>
        </w:rPr>
      </w:pPr>
      <w:r>
        <w:rPr>
          <w:rFonts w:hint="default" w:ascii="仿宋" w:hAnsi="仿宋" w:eastAsia="仿宋" w:cs="仿宋"/>
          <w:kern w:val="0"/>
          <w:sz w:val="32"/>
          <w:szCs w:val="32"/>
          <w:lang w:val="en-US" w:eastAsia="zh-CN" w:bidi="ar"/>
        </w:rPr>
        <w:t>由教务处牵头，以校本培训为依托组织开展优质课、微课大赛，以赛促教。2024</w:t>
      </w:r>
      <w:r>
        <w:rPr>
          <w:rFonts w:hint="eastAsia" w:ascii="仿宋" w:hAnsi="仿宋" w:eastAsia="仿宋" w:cs="仿宋"/>
          <w:kern w:val="0"/>
          <w:sz w:val="32"/>
          <w:szCs w:val="32"/>
          <w:lang w:val="en-US" w:eastAsia="zh-CN" w:bidi="ar"/>
        </w:rPr>
        <w:t>年学校教师参加张家口市“创新杯”优质课比赛，荣获2个一等奖，一个二等奖，一个优秀奖。参加河北省优质课比赛获得一个三等奖。在河北省职业院校技能大赛（中职组）数字产品检测与维护赛项中获二等奖，在河北省职业院校技能大赛（中职组）数字艺术设计赛项获两个三等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kern w:val="0"/>
          <w:sz w:val="32"/>
          <w:szCs w:val="32"/>
          <w:lang w:val="en-US" w:eastAsia="zh-CN" w:bidi="ar"/>
        </w:rPr>
      </w:pPr>
      <w:r>
        <w:rPr>
          <w:rFonts w:hint="eastAsia" w:ascii="仿宋" w:hAnsi="仿宋" w:eastAsia="仿宋" w:cs="仿宋"/>
          <w:kern w:val="0"/>
          <w:sz w:val="32"/>
          <w:szCs w:val="32"/>
          <w:lang w:val="en-US" w:eastAsia="zh-CN" w:bidi="ar"/>
        </w:rPr>
        <w:t>在张家口市语言文字工作委员会、张家口市教育局举办的中华经典诵写讲“诵读中国”经典诵读大赛中，荣获市职业院校学生组三等奖两项；教师组三等奖一项；市优秀指导教师奖</w:t>
      </w:r>
      <w:r>
        <w:rPr>
          <w:rFonts w:hint="default" w:ascii="仿宋" w:hAnsi="仿宋" w:eastAsia="仿宋" w:cs="仿宋"/>
          <w:kern w:val="0"/>
          <w:sz w:val="32"/>
          <w:szCs w:val="32"/>
          <w:lang w:val="en-US" w:eastAsia="zh-CN" w:bidi="ar"/>
        </w:rPr>
        <w:t>2</w:t>
      </w:r>
      <w:r>
        <w:rPr>
          <w:rFonts w:hint="eastAsia" w:ascii="仿宋" w:hAnsi="仿宋" w:eastAsia="仿宋" w:cs="仿宋"/>
          <w:kern w:val="0"/>
          <w:sz w:val="32"/>
          <w:szCs w:val="32"/>
          <w:lang w:val="en-US" w:eastAsia="zh-CN" w:bidi="ar"/>
        </w:rPr>
        <w:t>人。在河北省职业教育学会主办的河北省第一届职业教育优秀</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lang w:val="en-US" w:eastAsia="zh-CN"/>
        </w:rPr>
      </w:pPr>
      <w:r>
        <w:rPr>
          <w:rFonts w:hint="eastAsia" w:ascii="仿宋" w:hAnsi="仿宋" w:eastAsia="仿宋" w:cs="仿宋"/>
          <w:kern w:val="0"/>
          <w:sz w:val="32"/>
          <w:szCs w:val="32"/>
          <w:lang w:val="en-US" w:eastAsia="zh-CN" w:bidi="ar"/>
        </w:rPr>
        <w:t>论文评选中两名教师荣获三等奖。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lang w:val="en-US" w:eastAsia="zh-CN" w:bidi="ar"/>
        </w:rPr>
      </w:pPr>
      <w:r>
        <w:rPr>
          <w:rFonts w:hint="eastAsia" w:ascii="仿宋" w:hAnsi="仿宋" w:eastAsia="仿宋" w:cs="仿宋"/>
          <w:sz w:val="32"/>
          <w:szCs w:val="32"/>
          <w:highlight w:val="none"/>
          <w:lang w:val="en-US" w:eastAsia="zh-CN"/>
        </w:rPr>
        <w:t>周丽琴老师参与的《基于1+X证书制度的河北省职业教育实践教学课程体系构建与实施》课题研究按计划有序推进。</w:t>
      </w:r>
      <w:r>
        <w:rPr>
          <w:rFonts w:hint="eastAsia" w:ascii="仿宋" w:hAnsi="仿宋" w:eastAsia="仿宋" w:cs="仿宋"/>
          <w:sz w:val="32"/>
          <w:szCs w:val="32"/>
          <w:lang w:val="en-US" w:eastAsia="zh-CN"/>
        </w:rPr>
        <w:t>魏琦老师负责的《思政建设视阈下培育中职生核心素养的探索和研究》课题正在研究中。</w:t>
      </w:r>
      <w:r>
        <w:rPr>
          <w:rFonts w:hint="eastAsia" w:ascii="仿宋" w:hAnsi="仿宋" w:eastAsia="仿宋" w:cs="仿宋"/>
          <w:sz w:val="32"/>
          <w:szCs w:val="32"/>
          <w:highlight w:val="none"/>
          <w:lang w:val="en-US" w:eastAsia="zh-CN"/>
        </w:rPr>
        <w:t>还</w:t>
      </w:r>
      <w:r>
        <w:rPr>
          <w:rFonts w:hint="eastAsia" w:ascii="仿宋" w:hAnsi="仿宋" w:eastAsia="仿宋" w:cs="仿宋"/>
          <w:color w:val="000000"/>
          <w:sz w:val="32"/>
          <w:szCs w:val="32"/>
        </w:rPr>
        <w:t>有</w:t>
      </w:r>
      <w:r>
        <w:rPr>
          <w:rFonts w:hint="eastAsia" w:ascii="仿宋" w:hAnsi="仿宋" w:eastAsia="仿宋" w:cs="仿宋"/>
          <w:color w:val="000000"/>
          <w:sz w:val="32"/>
          <w:szCs w:val="32"/>
          <w:lang w:val="en-US" w:eastAsia="zh-CN"/>
        </w:rPr>
        <w:t>两位</w:t>
      </w:r>
      <w:r>
        <w:rPr>
          <w:rFonts w:hint="eastAsia" w:ascii="仿宋" w:hAnsi="仿宋" w:eastAsia="仿宋" w:cs="仿宋"/>
          <w:color w:val="000000"/>
          <w:sz w:val="32"/>
          <w:szCs w:val="32"/>
        </w:rPr>
        <w:t>教师</w:t>
      </w:r>
      <w:r>
        <w:rPr>
          <w:rFonts w:hint="eastAsia" w:ascii="仿宋" w:hAnsi="仿宋" w:eastAsia="仿宋" w:cs="仿宋"/>
          <w:color w:val="000000"/>
          <w:sz w:val="32"/>
          <w:szCs w:val="32"/>
          <w:lang w:val="en-US" w:eastAsia="zh-CN"/>
        </w:rPr>
        <w:t>的论文在国家级刊物上发表</w:t>
      </w:r>
      <w:r>
        <w:rPr>
          <w:rFonts w:hint="eastAsia" w:ascii="仿宋" w:hAnsi="仿宋" w:eastAsia="仿宋" w:cs="仿宋"/>
          <w:color w:val="000000"/>
          <w:sz w:val="32"/>
          <w:szCs w:val="32"/>
        </w:rPr>
        <w:t>。</w:t>
      </w:r>
      <w:r>
        <w:rPr>
          <w:rFonts w:hint="eastAsia" w:ascii="仿宋" w:hAnsi="仿宋" w:eastAsia="仿宋" w:cs="仿宋"/>
          <w:kern w:val="0"/>
          <w:sz w:val="32"/>
          <w:szCs w:val="32"/>
          <w:lang w:val="en-US" w:eastAsia="zh-CN" w:bidi="ar"/>
        </w:rPr>
        <w:t xml:space="preserve"> </w:t>
      </w:r>
      <w:bookmarkStart w:id="64" w:name="_Toc30905"/>
    </w:p>
    <w:p>
      <w:pPr>
        <w:pStyle w:val="5"/>
        <w:keepNext/>
        <w:keepLines/>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left"/>
        <w:textAlignment w:val="auto"/>
        <w:outlineLvl w:val="0"/>
        <w:rPr>
          <w:rFonts w:hint="eastAsia"/>
          <w:b w:val="0"/>
          <w:bCs/>
          <w:lang w:val="en-US" w:eastAsia="zh-CN"/>
        </w:rPr>
      </w:pPr>
      <w:bookmarkStart w:id="65" w:name="_Toc3226"/>
      <w:bookmarkStart w:id="66" w:name="_Toc2208"/>
      <w:r>
        <w:rPr>
          <w:rFonts w:hint="eastAsia"/>
          <w:b w:val="0"/>
          <w:bCs/>
          <w:lang w:val="en-US" w:eastAsia="zh-CN"/>
        </w:rPr>
        <w:t>三、服务贡献</w:t>
      </w:r>
      <w:bookmarkEnd w:id="65"/>
      <w:bookmarkEnd w:id="66"/>
      <w:bookmarkStart w:id="67" w:name="_Toc25714"/>
    </w:p>
    <w:p>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ind w:right="0" w:rightChars="0" w:firstLine="320" w:firstLineChars="100"/>
        <w:jc w:val="left"/>
        <w:textAlignment w:val="auto"/>
        <w:outlineLvl w:val="1"/>
        <w:rPr>
          <w:rFonts w:hint="eastAsia" w:ascii="楷体" w:hAnsi="楷体" w:eastAsia="楷体" w:cs="楷体"/>
          <w:b w:val="0"/>
          <w:bCs/>
          <w:lang w:val="en-US" w:eastAsia="zh-CN"/>
        </w:rPr>
      </w:pPr>
      <w:bookmarkStart w:id="68" w:name="_Toc26996"/>
      <w:bookmarkStart w:id="69" w:name="_Toc21455"/>
      <w:r>
        <w:rPr>
          <w:rFonts w:hint="eastAsia" w:ascii="楷体" w:hAnsi="楷体" w:eastAsia="楷体" w:cs="楷体"/>
          <w:b w:val="0"/>
          <w:bCs/>
          <w:lang w:val="en-US" w:eastAsia="zh-CN"/>
        </w:rPr>
        <w:t>（一）服务行业企业</w:t>
      </w:r>
      <w:bookmarkEnd w:id="68"/>
      <w:bookmarkEnd w:id="69"/>
    </w:p>
    <w:p>
      <w:pPr>
        <w:keepNext w:val="0"/>
        <w:keepLines w:val="0"/>
        <w:pageBreakBefore w:val="0"/>
        <w:widowControl w:val="0"/>
        <w:kinsoku w:val="0"/>
        <w:wordWrap/>
        <w:overflowPunct w:val="0"/>
        <w:topLinePunct w:val="0"/>
        <w:autoSpaceDE w:val="0"/>
        <w:autoSpaceDN/>
        <w:bidi w:val="0"/>
        <w:adjustRightInd/>
        <w:snapToGrid/>
        <w:spacing w:line="560" w:lineRule="exact"/>
        <w:ind w:left="0" w:leftChars="0" w:right="0" w:rightChars="0" w:firstLine="630" w:firstLineChars="300"/>
        <w:jc w:val="left"/>
        <w:textAlignment w:val="auto"/>
        <w:outlineLvl w:val="9"/>
        <w:rPr>
          <w:rFonts w:hint="eastAsia"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drawing>
          <wp:anchor distT="0" distB="0" distL="114300" distR="114300" simplePos="0" relativeHeight="251675648" behindDoc="0" locked="0" layoutInCell="1" allowOverlap="1">
            <wp:simplePos x="0" y="0"/>
            <wp:positionH relativeFrom="column">
              <wp:posOffset>535940</wp:posOffset>
            </wp:positionH>
            <wp:positionV relativeFrom="paragraph">
              <wp:posOffset>1826260</wp:posOffset>
            </wp:positionV>
            <wp:extent cx="4344035" cy="2705100"/>
            <wp:effectExtent l="0" t="0" r="14605" b="7620"/>
            <wp:wrapTopAndBottom/>
            <wp:docPr id="21" name="图片 21" descr="6a4509674af192a5f3c32f4ecfaa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a4509674af192a5f3c32f4ecfaa444"/>
                    <pic:cNvPicPr>
                      <a:picLocks noChangeAspect="1"/>
                    </pic:cNvPicPr>
                  </pic:nvPicPr>
                  <pic:blipFill>
                    <a:blip r:embed="rId35"/>
                    <a:stretch>
                      <a:fillRect/>
                    </a:stretch>
                  </pic:blipFill>
                  <pic:spPr>
                    <a:xfrm>
                      <a:off x="0" y="0"/>
                      <a:ext cx="4344035" cy="2705100"/>
                    </a:xfrm>
                    <a:prstGeom prst="rect">
                      <a:avLst/>
                    </a:prstGeom>
                  </pic:spPr>
                </pic:pic>
              </a:graphicData>
            </a:graphic>
          </wp:anchor>
        </w:drawing>
      </w:r>
      <w:r>
        <w:rPr>
          <w:rFonts w:hint="eastAsia" w:ascii="仿宋" w:hAnsi="仿宋" w:eastAsia="仿宋" w:cs="仿宋"/>
          <w:sz w:val="32"/>
          <w:szCs w:val="32"/>
          <w:highlight w:val="none"/>
          <w:lang w:val="en-US" w:eastAsia="zh-CN"/>
        </w:rPr>
        <w:t>涿鹿县职教中心应企业和乡镇的邀请，与县域部分企业、乡镇民营企业、专业合作社合作，开展了相关专业技术培训，并组织本校5名高级讲师入企业进行参观座谈。经过培训和</w:t>
      </w:r>
      <w:bookmarkEnd w:id="67"/>
      <w:r>
        <w:rPr>
          <w:rFonts w:hint="eastAsia" w:ascii="仿宋" w:hAnsi="仿宋" w:eastAsia="仿宋" w:cs="仿宋"/>
          <w:sz w:val="32"/>
          <w:szCs w:val="32"/>
          <w:highlight w:val="none"/>
          <w:lang w:val="en-US" w:eastAsia="zh-CN"/>
        </w:rPr>
        <w:t>实践实习指导，广大学员受益匪浅，毕业生就业情况良好。见分析图</w:t>
      </w:r>
      <w:bookmarkStart w:id="70" w:name="_Toc27829"/>
      <w:r>
        <w:rPr>
          <w:rFonts w:hint="eastAsia" w:ascii="仿宋" w:hAnsi="仿宋" w:eastAsia="仿宋" w:cs="仿宋"/>
          <w:sz w:val="32"/>
          <w:szCs w:val="32"/>
          <w:highlight w:val="none"/>
          <w:lang w:val="en-US" w:eastAsia="zh-CN"/>
        </w:rPr>
        <w:t>二：</w:t>
      </w:r>
      <w:bookmarkEnd w:id="70"/>
      <w:bookmarkStart w:id="71" w:name="_Toc888"/>
    </w:p>
    <w:p>
      <w:pPr>
        <w:pStyle w:val="10"/>
        <w:keepNext w:val="0"/>
        <w:keepLines w:val="0"/>
        <w:pageBreakBefore w:val="0"/>
        <w:widowControl w:val="0"/>
        <w:kinsoku/>
        <w:wordWrap/>
        <w:overflowPunct/>
        <w:topLinePunct w:val="0"/>
        <w:autoSpaceDE/>
        <w:autoSpaceDN/>
        <w:bidi w:val="0"/>
        <w:adjustRightInd/>
        <w:snapToGrid/>
        <w:spacing w:line="560" w:lineRule="exact"/>
        <w:ind w:left="0" w:leftChars="0" w:firstLine="420" w:firstLineChars="200"/>
        <w:jc w:val="center"/>
        <w:textAlignment w:val="auto"/>
        <w:rPr>
          <w:rFonts w:hint="eastAsia"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 xml:space="preserve">表 </w:t>
      </w:r>
      <w:r>
        <w:rPr>
          <w:rFonts w:hint="eastAsia" w:ascii="Calibri" w:hAnsi="Calibri" w:eastAsia="宋体" w:cs="Times New Roman"/>
          <w:kern w:val="2"/>
          <w:sz w:val="21"/>
          <w:szCs w:val="22"/>
          <w:lang w:val="en-US" w:eastAsia="zh-CN" w:bidi="ar-SA"/>
        </w:rPr>
        <w:fldChar w:fldCharType="begin"/>
      </w:r>
      <w:r>
        <w:rPr>
          <w:rFonts w:hint="eastAsia" w:ascii="Calibri" w:hAnsi="Calibri" w:eastAsia="宋体" w:cs="Times New Roman"/>
          <w:kern w:val="2"/>
          <w:sz w:val="21"/>
          <w:szCs w:val="22"/>
          <w:lang w:val="en-US" w:eastAsia="zh-CN" w:bidi="ar-SA"/>
        </w:rPr>
        <w:instrText xml:space="preserve"> SEQ 表 \* ARABIC </w:instrText>
      </w:r>
      <w:r>
        <w:rPr>
          <w:rFonts w:hint="eastAsia" w:ascii="Calibri" w:hAnsi="Calibri" w:eastAsia="宋体" w:cs="Times New Roman"/>
          <w:kern w:val="2"/>
          <w:sz w:val="21"/>
          <w:szCs w:val="22"/>
          <w:lang w:val="en-US" w:eastAsia="zh-CN" w:bidi="ar-SA"/>
        </w:rPr>
        <w:fldChar w:fldCharType="separate"/>
      </w:r>
      <w:r>
        <w:rPr>
          <w:rFonts w:hint="eastAsia" w:ascii="Calibri" w:hAnsi="Calibri" w:eastAsia="宋体" w:cs="Times New Roman"/>
          <w:kern w:val="2"/>
          <w:sz w:val="21"/>
          <w:szCs w:val="22"/>
          <w:lang w:val="en-US" w:eastAsia="zh-CN" w:bidi="ar-SA"/>
        </w:rPr>
        <w:t>5</w:t>
      </w:r>
      <w:r>
        <w:rPr>
          <w:rFonts w:hint="eastAsia" w:ascii="Calibri" w:hAnsi="Calibri" w:eastAsia="宋体" w:cs="Times New Roman"/>
          <w:kern w:val="2"/>
          <w:sz w:val="21"/>
          <w:szCs w:val="22"/>
          <w:lang w:val="en-US" w:eastAsia="zh-CN" w:bidi="ar-SA"/>
        </w:rPr>
        <w:fldChar w:fldCharType="end"/>
      </w:r>
      <w:bookmarkStart w:id="72" w:name="_Toc22250"/>
      <w:bookmarkStart w:id="73" w:name="_Toc24753"/>
      <w:bookmarkStart w:id="74" w:name="_Toc6948"/>
      <w:r>
        <w:rPr>
          <w:rFonts w:hint="eastAsia" w:ascii="Calibri" w:hAnsi="Calibri" w:eastAsia="宋体" w:cs="Times New Roman"/>
          <w:kern w:val="2"/>
          <w:sz w:val="21"/>
          <w:szCs w:val="22"/>
          <w:lang w:val="en-US" w:eastAsia="zh-CN" w:bidi="ar-SA"/>
        </w:rPr>
        <w:t>服务贡献数据分析图</w:t>
      </w:r>
      <w:bookmarkEnd w:id="72"/>
      <w:bookmarkEnd w:id="73"/>
      <w:bookmarkEnd w:id="74"/>
    </w:p>
    <w:p>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320" w:firstLineChars="100"/>
        <w:jc w:val="left"/>
        <w:textAlignment w:val="auto"/>
        <w:outlineLvl w:val="1"/>
        <w:rPr>
          <w:rFonts w:hint="eastAsia" w:ascii="仿宋" w:hAnsi="仿宋" w:eastAsia="仿宋" w:cs="仿宋"/>
          <w:sz w:val="32"/>
          <w:szCs w:val="32"/>
        </w:rPr>
      </w:pPr>
      <w:bookmarkStart w:id="75" w:name="_Toc14178"/>
      <w:bookmarkStart w:id="76" w:name="_Toc24746"/>
      <w:r>
        <w:rPr>
          <w:rFonts w:hint="eastAsia" w:ascii="楷体" w:hAnsi="楷体" w:eastAsia="楷体" w:cs="楷体"/>
          <w:b w:val="0"/>
          <w:bCs/>
          <w:lang w:val="en-US" w:eastAsia="zh-CN"/>
        </w:rPr>
        <w:t>（二）服务乡村振兴</w:t>
      </w:r>
      <w:bookmarkEnd w:id="71"/>
      <w:bookmarkEnd w:id="75"/>
      <w:bookmarkEnd w:id="76"/>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根据河北省教育厅《新型职业农民培养行动计划(2024-2026年)》的通知精神</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涿鹿县职教中心积极开展新型职业农民培养工作，新型职业农民培养工作</w:t>
      </w:r>
      <w:r>
        <w:rPr>
          <w:rFonts w:hint="eastAsia" w:ascii="仿宋" w:hAnsi="仿宋" w:eastAsia="仿宋" w:cs="仿宋"/>
          <w:sz w:val="32"/>
          <w:szCs w:val="32"/>
        </w:rPr>
        <w:t>紧紧围绕县域经济发展，做到精准培训促项目，服务乡村振兴，实现共同致富</w:t>
      </w:r>
      <w:r>
        <w:rPr>
          <w:rFonts w:hint="eastAsia" w:ascii="仿宋" w:hAnsi="仿宋" w:eastAsia="仿宋" w:cs="仿宋"/>
          <w:sz w:val="32"/>
          <w:szCs w:val="32"/>
          <w:lang w:eastAsia="zh-CN"/>
        </w:rPr>
        <w:t>，</w:t>
      </w:r>
      <w:r>
        <w:rPr>
          <w:rFonts w:hint="eastAsia" w:ascii="仿宋" w:hAnsi="仿宋" w:eastAsia="仿宋" w:cs="仿宋"/>
          <w:sz w:val="32"/>
          <w:szCs w:val="32"/>
        </w:rPr>
        <w:t>促进农业增效、农民增收、农村发展，助推农村移风易俗和文明乡风、良好家风、淳朴民风建设，致力于培养一批共同致富带头人、培养一批起龙头示范作用的带头人、培养一批当地创业致富带头人，为巩固全县脱贫成果，推进乡村振兴事业发展提供有力人才支撑。</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楷体" w:hAnsi="楷体" w:eastAsia="楷体" w:cs="楷体"/>
          <w:b w:val="0"/>
          <w:bCs/>
          <w:kern w:val="2"/>
          <w:sz w:val="32"/>
          <w:szCs w:val="22"/>
          <w:lang w:val="en-US" w:eastAsia="zh-CN" w:bidi="ar-SA"/>
        </w:rPr>
      </w:pPr>
      <w:r>
        <w:rPr>
          <w:rFonts w:hint="default" w:ascii="楷体" w:hAnsi="楷体" w:eastAsia="楷体" w:cs="楷体"/>
          <w:b w:val="0"/>
          <w:bCs/>
          <w:kern w:val="2"/>
          <w:sz w:val="32"/>
          <w:szCs w:val="22"/>
          <w:lang w:val="en-US" w:eastAsia="zh-CN" w:bidi="ar-SA"/>
        </w:rPr>
        <w:t>1.</w:t>
      </w:r>
      <w:r>
        <w:rPr>
          <w:rFonts w:hint="eastAsia" w:ascii="楷体" w:hAnsi="楷体" w:eastAsia="楷体" w:cs="楷体"/>
          <w:b w:val="0"/>
          <w:bCs/>
          <w:kern w:val="2"/>
          <w:sz w:val="32"/>
          <w:szCs w:val="22"/>
          <w:lang w:val="en-US" w:eastAsia="zh-CN" w:bidi="ar-SA"/>
        </w:rPr>
        <w:t>制定培养方案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为</w:t>
      </w:r>
      <w:r>
        <w:rPr>
          <w:rFonts w:hint="eastAsia" w:ascii="仿宋" w:hAnsi="仿宋" w:eastAsia="仿宋" w:cs="仿宋"/>
          <w:sz w:val="32"/>
          <w:szCs w:val="32"/>
        </w:rPr>
        <w:t>深入贯彻河北省教育厅《新型职业农民培养行动计划(2024-2026年)》的通知精神要求，围绕“造就一支适应现代农业发展的高素质职业农民队伍”目标，</w:t>
      </w:r>
      <w:r>
        <w:rPr>
          <w:rFonts w:hint="eastAsia" w:ascii="仿宋" w:hAnsi="仿宋" w:eastAsia="仿宋" w:cs="仿宋"/>
          <w:sz w:val="32"/>
          <w:szCs w:val="32"/>
          <w:lang w:eastAsia="zh-CN"/>
        </w:rPr>
        <w:t>根据</w:t>
      </w:r>
      <w:r>
        <w:rPr>
          <w:rFonts w:hint="eastAsia" w:ascii="仿宋" w:hAnsi="仿宋" w:eastAsia="仿宋" w:cs="仿宋"/>
          <w:sz w:val="32"/>
          <w:szCs w:val="32"/>
        </w:rPr>
        <w:t>人民政府办公室《关于</w:t>
      </w:r>
      <w:r>
        <w:rPr>
          <w:rFonts w:hint="eastAsia" w:ascii="仿宋" w:hAnsi="仿宋" w:eastAsia="仿宋" w:cs="仿宋"/>
          <w:sz w:val="32"/>
          <w:szCs w:val="32"/>
          <w:lang w:eastAsia="zh-CN"/>
        </w:rPr>
        <w:t>做好</w:t>
      </w:r>
      <w:r>
        <w:rPr>
          <w:rFonts w:hint="eastAsia" w:ascii="仿宋" w:hAnsi="仿宋" w:eastAsia="仿宋" w:cs="仿宋"/>
          <w:sz w:val="32"/>
          <w:szCs w:val="32"/>
        </w:rPr>
        <w:t>202</w:t>
      </w:r>
      <w:r>
        <w:rPr>
          <w:rFonts w:hint="eastAsia" w:ascii="仿宋" w:hAnsi="仿宋" w:eastAsia="仿宋" w:cs="仿宋"/>
          <w:sz w:val="32"/>
          <w:szCs w:val="32"/>
          <w:lang w:val="en-US" w:eastAsia="zh-CN"/>
        </w:rPr>
        <w:t>4</w:t>
      </w:r>
      <w:r>
        <w:rPr>
          <w:rFonts w:hint="eastAsia" w:ascii="仿宋" w:hAnsi="仿宋" w:eastAsia="仿宋" w:cs="仿宋"/>
          <w:sz w:val="32"/>
          <w:szCs w:val="32"/>
        </w:rPr>
        <w:t>年新型职业农民培训工作的通知》</w:t>
      </w:r>
      <w:r>
        <w:rPr>
          <w:rFonts w:hint="eastAsia" w:ascii="仿宋" w:hAnsi="仿宋" w:eastAsia="仿宋" w:cs="仿宋"/>
          <w:sz w:val="32"/>
          <w:szCs w:val="32"/>
          <w:lang w:eastAsia="zh-CN"/>
        </w:rPr>
        <w:t>要求</w:t>
      </w:r>
      <w:r>
        <w:rPr>
          <w:rFonts w:hint="eastAsia" w:ascii="仿宋" w:hAnsi="仿宋" w:eastAsia="仿宋" w:cs="仿宋"/>
          <w:sz w:val="32"/>
          <w:szCs w:val="32"/>
        </w:rPr>
        <w:t>，在县</w:t>
      </w:r>
      <w:r>
        <w:rPr>
          <w:rFonts w:hint="eastAsia" w:ascii="仿宋" w:hAnsi="仿宋" w:eastAsia="仿宋" w:cs="仿宋"/>
          <w:sz w:val="32"/>
          <w:szCs w:val="32"/>
          <w:lang w:eastAsia="zh-CN"/>
        </w:rPr>
        <w:t>政府</w:t>
      </w:r>
      <w:r>
        <w:rPr>
          <w:rFonts w:hint="eastAsia" w:ascii="仿宋" w:hAnsi="仿宋" w:eastAsia="仿宋" w:cs="仿宋"/>
          <w:sz w:val="32"/>
          <w:szCs w:val="32"/>
        </w:rPr>
        <w:t>的大力支持下，</w:t>
      </w:r>
      <w:r>
        <w:rPr>
          <w:rFonts w:hint="eastAsia" w:ascii="仿宋" w:hAnsi="仿宋" w:eastAsia="仿宋" w:cs="仿宋"/>
          <w:sz w:val="32"/>
          <w:szCs w:val="32"/>
          <w:lang w:eastAsia="zh-CN"/>
        </w:rPr>
        <w:t>该校</w:t>
      </w:r>
      <w:r>
        <w:rPr>
          <w:rFonts w:hint="eastAsia" w:ascii="仿宋" w:hAnsi="仿宋" w:eastAsia="仿宋" w:cs="仿宋"/>
          <w:sz w:val="32"/>
          <w:szCs w:val="32"/>
        </w:rPr>
        <w:t>按照“分层分类、融入产业、强化培育、以用为本、规范管理、提质增效” 的思路，以加快培育发展壮大农业经营主体为主线，以促进农业增效、农民增收、农村发展为核心，以造就有文化、有技能、善经营的现代新型职业农民为目标</w:t>
      </w:r>
      <w:r>
        <w:rPr>
          <w:rFonts w:hint="eastAsia" w:ascii="仿宋" w:hAnsi="仿宋" w:eastAsia="仿宋" w:cs="仿宋"/>
          <w:sz w:val="32"/>
          <w:szCs w:val="32"/>
          <w:lang w:eastAsia="zh-CN"/>
        </w:rPr>
        <w:t>，</w:t>
      </w:r>
      <w:r>
        <w:rPr>
          <w:rFonts w:hint="eastAsia" w:ascii="仿宋" w:hAnsi="仿宋" w:eastAsia="仿宋" w:cs="仿宋"/>
          <w:sz w:val="32"/>
          <w:szCs w:val="32"/>
        </w:rPr>
        <w:t>制定</w:t>
      </w:r>
      <w:r>
        <w:rPr>
          <w:rFonts w:hint="eastAsia" w:ascii="仿宋" w:hAnsi="仿宋" w:eastAsia="仿宋" w:cs="仿宋"/>
          <w:sz w:val="32"/>
          <w:szCs w:val="32"/>
          <w:lang w:eastAsia="zh-CN"/>
        </w:rPr>
        <w:t>了</w:t>
      </w:r>
      <w:r>
        <w:rPr>
          <w:rFonts w:hint="eastAsia" w:ascii="仿宋" w:hAnsi="仿宋" w:eastAsia="仿宋" w:cs="仿宋"/>
          <w:sz w:val="32"/>
          <w:szCs w:val="32"/>
        </w:rPr>
        <w:t>切实可行的</w:t>
      </w:r>
      <w:r>
        <w:rPr>
          <w:rFonts w:hint="eastAsia" w:ascii="仿宋" w:hAnsi="仿宋" w:eastAsia="仿宋" w:cs="仿宋"/>
          <w:sz w:val="32"/>
          <w:szCs w:val="32"/>
          <w:lang w:eastAsia="zh-CN"/>
        </w:rPr>
        <w:t>《涿鹿县人民政府</w:t>
      </w:r>
      <w:r>
        <w:rPr>
          <w:rFonts w:hint="eastAsia" w:ascii="仿宋" w:hAnsi="仿宋" w:eastAsia="仿宋" w:cs="仿宋"/>
          <w:sz w:val="32"/>
          <w:szCs w:val="32"/>
          <w:lang w:val="en-US" w:eastAsia="zh-CN"/>
        </w:rPr>
        <w:t>2024年新型职业农民培养项目实施方案</w:t>
      </w:r>
      <w:r>
        <w:rPr>
          <w:rFonts w:hint="eastAsia" w:ascii="仿宋" w:hAnsi="仿宋" w:eastAsia="仿宋" w:cs="仿宋"/>
          <w:sz w:val="32"/>
          <w:szCs w:val="32"/>
          <w:lang w:eastAsia="zh-CN"/>
        </w:rPr>
        <w:t>》</w:t>
      </w:r>
      <w:r>
        <w:rPr>
          <w:rFonts w:hint="eastAsia" w:ascii="仿宋" w:hAnsi="仿宋" w:eastAsia="仿宋" w:cs="仿宋"/>
          <w:sz w:val="32"/>
          <w:szCs w:val="32"/>
        </w:rPr>
        <w:t>。探索实行“村校合作、乡校合作、校企合作、校社合作”招生新模式，通过采取“案例教学+模拟训练”“学校授课+基地实习”“田间培训+生产指导”等方式，开展教学培训和后续跟踪服务，确保培训质量。积极采用可视化教学资源或利用有关平台的在线课程资源，探索线上线下教学的有机融合，满足农民随时学习、选择性学习的需要。通过认真组织实施</w:t>
      </w:r>
      <w:r>
        <w:rPr>
          <w:rFonts w:hint="eastAsia" w:ascii="仿宋" w:hAnsi="仿宋" w:eastAsia="仿宋" w:cs="仿宋"/>
          <w:sz w:val="32"/>
          <w:szCs w:val="32"/>
          <w:lang w:eastAsia="zh-CN"/>
        </w:rPr>
        <w:t>，</w:t>
      </w:r>
      <w:r>
        <w:rPr>
          <w:rFonts w:hint="eastAsia" w:ascii="仿宋" w:hAnsi="仿宋" w:eastAsia="仿宋" w:cs="仿宋"/>
          <w:sz w:val="32"/>
          <w:szCs w:val="32"/>
        </w:rPr>
        <w:t>进一步增强职业教育赋予乡村振兴、服务县域经济社会发展的能力</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638" w:leftChars="304" w:right="0" w:rightChars="0" w:firstLine="0" w:firstLineChars="0"/>
        <w:jc w:val="both"/>
        <w:textAlignment w:val="auto"/>
        <w:outlineLvl w:val="9"/>
        <w:rPr>
          <w:rFonts w:hint="eastAsia" w:ascii="楷体" w:hAnsi="楷体" w:eastAsia="楷体" w:cs="楷体"/>
          <w:b w:val="0"/>
          <w:bCs/>
          <w:kern w:val="2"/>
          <w:sz w:val="32"/>
          <w:szCs w:val="22"/>
          <w:lang w:val="en-US" w:eastAsia="zh-CN" w:bidi="ar-SA"/>
        </w:rPr>
      </w:pPr>
      <w:r>
        <w:rPr>
          <w:rFonts w:hint="default" w:ascii="楷体" w:hAnsi="楷体" w:eastAsia="楷体" w:cs="楷体"/>
          <w:b w:val="0"/>
          <w:bCs/>
          <w:kern w:val="2"/>
          <w:sz w:val="32"/>
          <w:szCs w:val="22"/>
          <w:lang w:val="en-US" w:eastAsia="zh-CN" w:bidi="ar-SA"/>
        </w:rPr>
        <w:t>2.</w:t>
      </w:r>
      <w:r>
        <w:rPr>
          <w:rFonts w:hint="eastAsia" w:ascii="楷体" w:hAnsi="楷体" w:eastAsia="楷体" w:cs="楷体"/>
          <w:b w:val="0"/>
          <w:bCs/>
          <w:kern w:val="2"/>
          <w:sz w:val="32"/>
          <w:szCs w:val="22"/>
          <w:lang w:val="en-US" w:eastAsia="zh-CN" w:bidi="ar-SA"/>
        </w:rPr>
        <w:t>任务完成情况</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2024年，</w:t>
      </w:r>
      <w:r>
        <w:rPr>
          <w:rFonts w:hint="eastAsia" w:ascii="仿宋" w:hAnsi="仿宋" w:eastAsia="仿宋" w:cs="仿宋"/>
          <w:sz w:val="32"/>
          <w:szCs w:val="32"/>
          <w:lang w:val="en-US" w:eastAsia="zh-CN"/>
        </w:rPr>
        <w:t>招收</w:t>
      </w:r>
      <w:r>
        <w:rPr>
          <w:rFonts w:hint="eastAsia" w:ascii="仿宋" w:hAnsi="仿宋" w:eastAsia="仿宋" w:cs="仿宋"/>
          <w:sz w:val="32"/>
          <w:szCs w:val="32"/>
          <w:lang w:eastAsia="zh-CN"/>
        </w:rPr>
        <w:t>建设和升级以服务当地经济发展和农民增收致富急需的</w:t>
      </w:r>
      <w:r>
        <w:rPr>
          <w:rFonts w:hint="eastAsia" w:ascii="仿宋" w:hAnsi="仿宋" w:eastAsia="仿宋" w:cs="仿宋"/>
          <w:sz w:val="32"/>
          <w:szCs w:val="32"/>
          <w:lang w:val="en-US" w:eastAsia="zh-CN"/>
        </w:rPr>
        <w:t>作为生产技术</w:t>
      </w:r>
      <w:r>
        <w:rPr>
          <w:rFonts w:hint="eastAsia" w:ascii="仿宋" w:hAnsi="仿宋" w:eastAsia="仿宋" w:cs="仿宋"/>
          <w:sz w:val="32"/>
          <w:szCs w:val="32"/>
          <w:lang w:eastAsia="zh-CN"/>
        </w:rPr>
        <w:t>中职专业</w:t>
      </w:r>
      <w:r>
        <w:rPr>
          <w:rFonts w:hint="eastAsia" w:ascii="仿宋" w:hAnsi="仿宋" w:eastAsia="仿宋" w:cs="仿宋"/>
          <w:sz w:val="32"/>
          <w:szCs w:val="32"/>
          <w:lang w:val="en-US" w:eastAsia="zh-CN"/>
        </w:rPr>
        <w:t>学生39人。</w:t>
      </w:r>
      <w:r>
        <w:rPr>
          <w:rFonts w:hint="eastAsia" w:ascii="仿宋" w:hAnsi="仿宋" w:eastAsia="仿宋" w:cs="仿宋"/>
          <w:sz w:val="32"/>
          <w:szCs w:val="32"/>
          <w:lang w:eastAsia="zh-CN"/>
        </w:rPr>
        <w:t>在</w:t>
      </w:r>
      <w:r>
        <w:rPr>
          <w:rFonts w:hint="eastAsia" w:ascii="仿宋" w:hAnsi="仿宋" w:eastAsia="仿宋" w:cs="仿宋"/>
          <w:sz w:val="32"/>
          <w:szCs w:val="32"/>
          <w:lang w:val="en-US" w:eastAsia="zh-CN"/>
        </w:rPr>
        <w:t>县政府的统筹领导下，与相关科局协同发力，在</w:t>
      </w:r>
      <w:r>
        <w:rPr>
          <w:rFonts w:hint="eastAsia" w:ascii="仿宋" w:hAnsi="仿宋" w:eastAsia="仿宋" w:cs="仿宋"/>
          <w:sz w:val="32"/>
          <w:szCs w:val="32"/>
          <w:lang w:eastAsia="zh-CN"/>
        </w:rPr>
        <w:t>全县范围内共计建立9个教学点，</w:t>
      </w:r>
      <w:r>
        <w:rPr>
          <w:rFonts w:hint="eastAsia" w:ascii="仿宋" w:hAnsi="仿宋" w:eastAsia="仿宋" w:cs="仿宋"/>
          <w:sz w:val="32"/>
          <w:szCs w:val="32"/>
          <w:lang w:val="en-US" w:eastAsia="zh-CN"/>
        </w:rPr>
        <w:t>面向在乡从业人员及合作社规模养殖人员开展技术技能培训。</w:t>
      </w:r>
      <w:r>
        <w:rPr>
          <w:rFonts w:hint="eastAsia" w:ascii="仿宋" w:hAnsi="仿宋" w:eastAsia="仿宋" w:cs="仿宋"/>
          <w:sz w:val="32"/>
          <w:szCs w:val="32"/>
          <w:lang w:eastAsia="zh-CN"/>
        </w:rPr>
        <w:t>其中，太平堡村(35人)、下井沟村(33人)两个</w:t>
      </w:r>
      <w:r>
        <w:rPr>
          <w:rFonts w:hint="eastAsia" w:ascii="仿宋" w:hAnsi="仿宋" w:eastAsia="仿宋" w:cs="仿宋"/>
          <w:sz w:val="32"/>
          <w:szCs w:val="32"/>
          <w:lang w:val="en-US" w:eastAsia="zh-CN"/>
        </w:rPr>
        <w:t>教学点开设</w:t>
      </w:r>
      <w:r>
        <w:rPr>
          <w:rFonts w:hint="eastAsia" w:ascii="仿宋" w:hAnsi="仿宋" w:eastAsia="仿宋" w:cs="仿宋"/>
          <w:sz w:val="32"/>
          <w:szCs w:val="32"/>
          <w:lang w:eastAsia="zh-CN"/>
        </w:rPr>
        <w:t>康养护理专业，肖家堡宏远葡萄专业合作社(42人)、唐家洼村(24人)、大荆寺村(38人)、下四堡村(31人)、石门村(</w:t>
      </w:r>
      <w:r>
        <w:rPr>
          <w:rFonts w:hint="eastAsia" w:ascii="仿宋" w:hAnsi="仿宋" w:eastAsia="仿宋" w:cs="仿宋"/>
          <w:sz w:val="32"/>
          <w:szCs w:val="32"/>
          <w:lang w:val="en-US" w:eastAsia="zh-CN"/>
        </w:rPr>
        <w:t>40</w:t>
      </w:r>
      <w:r>
        <w:rPr>
          <w:rFonts w:hint="eastAsia" w:ascii="仿宋" w:hAnsi="仿宋" w:eastAsia="仿宋" w:cs="仿宋"/>
          <w:sz w:val="32"/>
          <w:szCs w:val="32"/>
          <w:lang w:eastAsia="zh-CN"/>
        </w:rPr>
        <w:t>人)、大堡村(20人)、温泉屯镇(68人)</w:t>
      </w:r>
      <w:r>
        <w:rPr>
          <w:rFonts w:hint="eastAsia" w:ascii="仿宋" w:hAnsi="仿宋" w:eastAsia="仿宋" w:cs="仿宋"/>
          <w:sz w:val="32"/>
          <w:szCs w:val="32"/>
          <w:lang w:val="en-US" w:eastAsia="zh-CN"/>
        </w:rPr>
        <w:t>7个教学点开设</w:t>
      </w:r>
      <w:r>
        <w:rPr>
          <w:rFonts w:hint="eastAsia" w:ascii="仿宋" w:hAnsi="仿宋" w:eastAsia="仿宋" w:cs="仿宋"/>
          <w:sz w:val="32"/>
          <w:szCs w:val="32"/>
          <w:lang w:eastAsia="zh-CN"/>
        </w:rPr>
        <w:t>种植技术专业。培训共计3</w:t>
      </w:r>
      <w:r>
        <w:rPr>
          <w:rFonts w:hint="eastAsia" w:ascii="仿宋" w:hAnsi="仿宋" w:eastAsia="仿宋" w:cs="仿宋"/>
          <w:sz w:val="32"/>
          <w:szCs w:val="32"/>
          <w:lang w:val="en-US" w:eastAsia="zh-CN"/>
        </w:rPr>
        <w:t>31</w:t>
      </w:r>
      <w:r>
        <w:rPr>
          <w:rFonts w:hint="eastAsia" w:ascii="仿宋" w:hAnsi="仿宋" w:eastAsia="仿宋" w:cs="仿宋"/>
          <w:sz w:val="32"/>
          <w:szCs w:val="32"/>
          <w:lang w:eastAsia="zh-CN"/>
        </w:rPr>
        <w:t>人。</w:t>
      </w:r>
    </w:p>
    <w:p>
      <w:pPr>
        <w:pStyle w:val="10"/>
        <w:jc w:val="center"/>
        <w:rPr>
          <w:rFonts w:hint="eastAsia"/>
        </w:rPr>
      </w:pPr>
      <w:r>
        <w:rPr>
          <w:rFonts w:hint="eastAsia"/>
        </w:rPr>
        <w:drawing>
          <wp:anchor distT="0" distB="0" distL="114300" distR="114300" simplePos="0" relativeHeight="251669504" behindDoc="0" locked="0" layoutInCell="1" allowOverlap="1">
            <wp:simplePos x="0" y="0"/>
            <wp:positionH relativeFrom="column">
              <wp:posOffset>411480</wp:posOffset>
            </wp:positionH>
            <wp:positionV relativeFrom="page">
              <wp:posOffset>2842260</wp:posOffset>
            </wp:positionV>
            <wp:extent cx="4629150" cy="2477135"/>
            <wp:effectExtent l="0" t="0" r="0" b="18415"/>
            <wp:wrapTopAndBottom/>
            <wp:docPr id="18" name="图片 18" descr="dff97c60b25cc86a8eec2abb2b2f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ff97c60b25cc86a8eec2abb2b2ffab"/>
                    <pic:cNvPicPr>
                      <a:picLocks noChangeAspect="1"/>
                    </pic:cNvPicPr>
                  </pic:nvPicPr>
                  <pic:blipFill>
                    <a:blip r:embed="rId36"/>
                    <a:stretch>
                      <a:fillRect/>
                    </a:stretch>
                  </pic:blipFill>
                  <pic:spPr>
                    <a:xfrm>
                      <a:off x="0" y="0"/>
                      <a:ext cx="4629150" cy="2477135"/>
                    </a:xfrm>
                    <a:prstGeom prst="rect">
                      <a:avLst/>
                    </a:prstGeom>
                  </pic:spPr>
                </pic:pic>
              </a:graphicData>
            </a:graphic>
          </wp:anchor>
        </w:drawing>
      </w:r>
      <w:r>
        <w:t xml:space="preserve">图 </w:t>
      </w:r>
      <w:r>
        <w:fldChar w:fldCharType="begin"/>
      </w:r>
      <w:r>
        <w:instrText xml:space="preserve"> SEQ 图 \* ARABIC </w:instrText>
      </w:r>
      <w:r>
        <w:fldChar w:fldCharType="separate"/>
      </w:r>
      <w:r>
        <w:t>9</w:t>
      </w:r>
      <w:r>
        <w:fldChar w:fldCharType="end"/>
      </w:r>
      <w:bookmarkStart w:id="77" w:name="_Toc16326"/>
      <w:bookmarkStart w:id="78" w:name="_Toc24006"/>
      <w:bookmarkStart w:id="79" w:name="_Toc21979"/>
      <w:r>
        <w:rPr>
          <w:rFonts w:hint="eastAsia"/>
          <w:lang w:eastAsia="zh-CN"/>
        </w:rPr>
        <w:t>学校在温泉屯教学点授课</w:t>
      </w:r>
      <w:bookmarkEnd w:id="77"/>
      <w:bookmarkEnd w:id="78"/>
      <w:bookmarkEnd w:id="79"/>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黑体" w:hAnsi="黑体" w:eastAsia="黑体" w:cs="黑体"/>
          <w:sz w:val="32"/>
          <w:szCs w:val="32"/>
          <w:lang w:val="en-US" w:eastAsia="zh-CN"/>
        </w:rPr>
      </w:pPr>
      <w:r>
        <w:rPr>
          <w:rFonts w:hint="default" w:ascii="楷体" w:hAnsi="楷体" w:eastAsia="楷体" w:cs="楷体"/>
          <w:b w:val="0"/>
          <w:bCs/>
          <w:kern w:val="2"/>
          <w:sz w:val="32"/>
          <w:szCs w:val="22"/>
          <w:lang w:val="en-US" w:eastAsia="zh-CN" w:bidi="ar-SA"/>
        </w:rPr>
        <w:t>3.</w:t>
      </w:r>
      <w:r>
        <w:rPr>
          <w:rFonts w:hint="eastAsia" w:ascii="楷体" w:hAnsi="楷体" w:eastAsia="楷体" w:cs="楷体"/>
          <w:b w:val="0"/>
          <w:bCs/>
          <w:kern w:val="2"/>
          <w:sz w:val="32"/>
          <w:szCs w:val="22"/>
          <w:lang w:val="en-US" w:eastAsia="zh-CN" w:bidi="ar-SA"/>
        </w:rPr>
        <w:t>主要工作开展情况</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涿鹿县副县长宋学兰，教育和体育局副局长闫金华及职教中心党委书记陈立东参加“河北省2024-2026新型职业农民培养项目县”申报协调会。成功入围项目实施学校。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为确保新型职业农民培养工作的顺利进行，该校成立了工作领导小组，陈立东担任党组书记，孟庆泉担任组长，刘志远担任副组长，石玉生、李志高、李佩权、宋海、郑毅为组员。工作领导小组主要研究解决培训工作中的重大问题，制定培训计划、统筹规划、综合协调、培训专业和课程设置审核、教材落实、经费管理、进展情况汇总上报、监督检查和保证培训质量。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与河北北方学院农林科技学院就新型职业农民培养工作帮扶工作达成一致意见，通过专业共建、师资共享、任务共担等方式实现结对帮扶，以提高涿鹿县职业技术教育中心相关专业建设水平和培训质量。帮扶期间，共同制定《涿鹿县人民政府2024年新型职业农民培养工作方案》；借鉴赵县经验做法，今后要紧紧围绕县域经济产业发展，开拓学员实训基地建设，为参训学员提供良好实践活动场所，提高其技能水平。充分发挥相关科局作用，协同联动为部分优秀学员创造良好就业机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多次邀请河北北方学院农林科技学院副院长张俊平给学员讲授设施农业种植技术并做现场实践指导，确立涿鹿县宏远葡萄专业合作社为涿鹿县职教中心新型职业农民培养学员实践实训基地；召开“新型职业农民培养工作推进会”，充分发挥高校资源为新型职业农民培养工作做全方位服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先后邀请河北省农林科学院昌黎果树研究所原副所长，二级研究员，河北省有突出贡献专家，国家葡萄产业技术体系岗位专家，河北省葡萄学会副理事长赵胜建；中国农学会葡萄分会理事，河北省科技特派员、河北省葡萄农业技术委员会副秘书长、河北省科技师范学院校外导师、博士、研究员，现任国家葡萄产业技术体系岗位科学家韩斌；紧紧围绕温泉屯镇葡萄产业发展趋势，以农业增效、农民增收为宗旨，培养一批掌握以龙眼葡萄为主体，发展新型葡萄品种为主导的技术示范作用带头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lang w:val="en-US" w:eastAsia="zh-CN"/>
        </w:rPr>
      </w:pPr>
      <w:r>
        <w:rPr>
          <w:rFonts w:hint="default" w:ascii="楷体" w:hAnsi="楷体" w:eastAsia="楷体" w:cs="楷体"/>
          <w:b w:val="0"/>
          <w:bCs/>
          <w:kern w:val="2"/>
          <w:sz w:val="32"/>
          <w:szCs w:val="22"/>
          <w:lang w:val="en-US" w:eastAsia="zh-CN" w:bidi="ar-SA"/>
        </w:rPr>
        <w:t>4.</w:t>
      </w:r>
      <w:r>
        <w:rPr>
          <w:rFonts w:hint="eastAsia" w:ascii="楷体" w:hAnsi="楷体" w:eastAsia="楷体" w:cs="楷体"/>
          <w:b w:val="0"/>
          <w:bCs/>
          <w:kern w:val="2"/>
          <w:sz w:val="32"/>
          <w:szCs w:val="22"/>
          <w:lang w:val="en-US" w:eastAsia="zh-CN" w:bidi="ar-SA"/>
        </w:rPr>
        <w:t>各教学点培训工作开展情况</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卧佛寺镇、栾庄乡教学点先后组织在乡从业人员68人参加家政服务康养护理专业开班培训。培训期间，职教中心组织学员到“涿鹿县颐年养老中心”参观学习并实习实践。</w:t>
      </w:r>
      <w:r>
        <w:rPr>
          <w:rFonts w:hint="eastAsia" w:ascii="仿宋" w:hAnsi="仿宋" w:eastAsia="仿宋" w:cs="仿宋"/>
          <w:sz w:val="32"/>
          <w:szCs w:val="32"/>
        </w:rPr>
        <w:t>为今后到外地打工从事养老护理工作及提升自己家庭生活水平打下良好的基础。</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lang w:val="en-US" w:eastAsia="zh-CN"/>
        </w:rPr>
        <w:t>矾山镇、下四堡、唐家洼、杨木林教学点先后组织在乡从业人员137人参加设施农业、葡萄、仁用杏种植技术专班培训。</w:t>
      </w:r>
      <w:r>
        <w:rPr>
          <w:rFonts w:hint="eastAsia" w:ascii="仿宋" w:hAnsi="仿宋" w:eastAsia="仿宋" w:cs="仿宋"/>
          <w:sz w:val="32"/>
          <w:szCs w:val="32"/>
        </w:rPr>
        <w:t>聘请农业农村局蔬菜专家王玉丽</w:t>
      </w:r>
      <w:r>
        <w:rPr>
          <w:rFonts w:hint="eastAsia" w:ascii="仿宋" w:hAnsi="仿宋" w:eastAsia="仿宋" w:cs="仿宋"/>
          <w:sz w:val="32"/>
          <w:szCs w:val="32"/>
          <w:lang w:eastAsia="zh-CN"/>
        </w:rPr>
        <w:t>，</w:t>
      </w:r>
      <w:r>
        <w:rPr>
          <w:rFonts w:hint="eastAsia" w:ascii="仿宋" w:hAnsi="仿宋" w:eastAsia="仿宋" w:cs="仿宋"/>
          <w:sz w:val="32"/>
          <w:szCs w:val="32"/>
        </w:rPr>
        <w:t>果树专家楚燕杰实地</w:t>
      </w:r>
      <w:r>
        <w:rPr>
          <w:rFonts w:hint="eastAsia" w:ascii="仿宋" w:hAnsi="仿宋" w:eastAsia="仿宋" w:cs="仿宋"/>
          <w:sz w:val="32"/>
          <w:szCs w:val="32"/>
          <w:lang w:val="en-US" w:eastAsia="zh-CN"/>
        </w:rPr>
        <w:t>指导学员技能</w:t>
      </w:r>
      <w:r>
        <w:rPr>
          <w:rFonts w:hint="eastAsia" w:ascii="仿宋" w:hAnsi="仿宋" w:eastAsia="仿宋" w:cs="仿宋"/>
          <w:sz w:val="32"/>
          <w:szCs w:val="32"/>
        </w:rPr>
        <w:t>，手把手</w:t>
      </w:r>
      <w:r>
        <w:rPr>
          <w:rFonts w:hint="eastAsia" w:ascii="仿宋" w:hAnsi="仿宋" w:eastAsia="仿宋" w:cs="仿宋"/>
          <w:sz w:val="32"/>
          <w:szCs w:val="32"/>
          <w:lang w:val="en-US" w:eastAsia="zh-CN"/>
        </w:rPr>
        <w:t>传授</w:t>
      </w:r>
      <w:r>
        <w:rPr>
          <w:rFonts w:hint="eastAsia" w:ascii="仿宋" w:hAnsi="仿宋" w:eastAsia="仿宋" w:cs="仿宋"/>
          <w:sz w:val="32"/>
          <w:szCs w:val="32"/>
        </w:rPr>
        <w:t>种植大户解决西红柿</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阳光玫瑰病虫害防治</w:t>
      </w:r>
      <w:r>
        <w:rPr>
          <w:rFonts w:hint="eastAsia" w:ascii="仿宋" w:hAnsi="仿宋" w:eastAsia="仿宋" w:cs="仿宋"/>
          <w:sz w:val="32"/>
          <w:szCs w:val="32"/>
        </w:rPr>
        <w:t>问题</w:t>
      </w:r>
      <w:r>
        <w:rPr>
          <w:rFonts w:hint="eastAsia" w:ascii="仿宋" w:hAnsi="仿宋" w:eastAsia="仿宋" w:cs="仿宋"/>
          <w:sz w:val="32"/>
          <w:szCs w:val="32"/>
          <w:lang w:val="en-US" w:eastAsia="zh-CN"/>
        </w:rPr>
        <w:t>和仁用杏树</w:t>
      </w:r>
      <w:r>
        <w:rPr>
          <w:rFonts w:hint="eastAsia" w:ascii="仿宋" w:hAnsi="仿宋" w:eastAsia="仿宋" w:cs="仿宋"/>
          <w:sz w:val="32"/>
          <w:szCs w:val="32"/>
        </w:rPr>
        <w:t>管理技术</w:t>
      </w:r>
      <w:r>
        <w:rPr>
          <w:rFonts w:hint="eastAsia" w:ascii="仿宋" w:hAnsi="仿宋" w:eastAsia="仿宋" w:cs="仿宋"/>
          <w:sz w:val="32"/>
          <w:szCs w:val="32"/>
          <w:lang w:val="en-US" w:eastAsia="zh-CN"/>
        </w:rPr>
        <w:t>。多次聘请河北北方学院农林科技学院副院长张俊平到实践基地给学员们讲授果树种植管理技术以及新品种培育技术，通过学习，学员们将复杂的种植过程，分要点归类，进行优化处理，病虫害防治“专药专治”，没有试错过程，不会做冗余的操作，节省了人工成本。力求用最少的人，付出最少的劳动，实现最大的价值。不再是以往盲目操作，在植物不同时期，采用不同的操作管理方式。此次培训开拓了学员们的视野，增强了学员们科学种植的观念，</w:t>
      </w:r>
      <w:r>
        <w:rPr>
          <w:rFonts w:hint="eastAsia" w:ascii="仿宋" w:hAnsi="仿宋" w:eastAsia="仿宋" w:cs="仿宋"/>
          <w:sz w:val="32"/>
          <w:szCs w:val="32"/>
        </w:rPr>
        <w:t>为种植大户提高产量质量提供有利保障。</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涿鹿县人民政府统筹组织68名葡萄种植户、农业合作社负责人参加在温泉屯镇举办的新型职业农民培养葡萄产业种植管理与技术专班培训。本期葡萄种植培训，分别邀请河北省农林科学院昌黎果树研究所原副所长，二级研究员赵胜建和国家葡萄产业技术体系岗位科学家，博士、研究员韩斌为参训学员培训。</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大堡村、大荆寺村教学点先后组织在乡从业人员58人参加错季蔬菜种植技术专班培训。</w:t>
      </w:r>
      <w:r>
        <w:rPr>
          <w:rFonts w:hint="eastAsia" w:ascii="仿宋" w:hAnsi="仿宋" w:eastAsia="仿宋" w:cs="仿宋"/>
          <w:sz w:val="32"/>
          <w:szCs w:val="32"/>
        </w:rPr>
        <w:t>聘请农业农村局蔬菜专家王玉丽</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传授大棚蔬菜豆角、辣椒、白菜、马铃薯</w:t>
      </w:r>
      <w:r>
        <w:rPr>
          <w:rFonts w:hint="eastAsia" w:ascii="仿宋" w:hAnsi="仿宋" w:eastAsia="仿宋" w:cs="仿宋"/>
          <w:sz w:val="32"/>
          <w:szCs w:val="32"/>
        </w:rPr>
        <w:t>种植</w:t>
      </w:r>
      <w:r>
        <w:rPr>
          <w:rFonts w:hint="eastAsia" w:ascii="仿宋" w:hAnsi="仿宋" w:eastAsia="仿宋" w:cs="仿宋"/>
          <w:sz w:val="32"/>
          <w:szCs w:val="32"/>
          <w:lang w:val="en-US" w:eastAsia="zh-CN"/>
        </w:rPr>
        <w:t>和管理技术</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实地详细讲解了病虫害防治</w:t>
      </w:r>
      <w:r>
        <w:rPr>
          <w:rFonts w:hint="eastAsia" w:ascii="仿宋" w:hAnsi="仿宋" w:eastAsia="仿宋" w:cs="仿宋"/>
          <w:sz w:val="32"/>
          <w:szCs w:val="32"/>
        </w:rPr>
        <w:t>问题</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及时解决了农户种植过程中的实际困难，为实现增产增收提供了技术支持。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default" w:ascii="楷体" w:hAnsi="楷体" w:eastAsia="楷体" w:cs="楷体"/>
          <w:b w:val="0"/>
          <w:bCs/>
          <w:kern w:val="2"/>
          <w:sz w:val="32"/>
          <w:szCs w:val="22"/>
          <w:lang w:val="en-US" w:eastAsia="zh-CN" w:bidi="ar-SA"/>
        </w:rPr>
      </w:pPr>
      <w:r>
        <w:rPr>
          <w:rFonts w:hint="default" w:ascii="楷体" w:hAnsi="楷体" w:eastAsia="楷体" w:cs="楷体"/>
          <w:b w:val="0"/>
          <w:bCs/>
          <w:kern w:val="2"/>
          <w:sz w:val="32"/>
          <w:szCs w:val="22"/>
          <w:lang w:val="en-US" w:eastAsia="zh-CN" w:bidi="ar-SA"/>
        </w:rPr>
        <w:t>5.</w:t>
      </w:r>
      <w:r>
        <w:rPr>
          <w:rFonts w:hint="eastAsia" w:ascii="楷体" w:hAnsi="楷体" w:eastAsia="楷体" w:cs="楷体"/>
          <w:b w:val="0"/>
          <w:bCs/>
          <w:kern w:val="2"/>
          <w:sz w:val="32"/>
          <w:szCs w:val="22"/>
          <w:lang w:val="en-US" w:eastAsia="zh-CN" w:bidi="ar-SA"/>
        </w:rPr>
        <w:t>积极开展技术跟踪服务，打造优秀学员，推广典型案例</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仿宋" w:hAnsi="仿宋" w:eastAsia="仿宋" w:cs="仿宋"/>
          <w:b w:val="0"/>
          <w:i w:val="0"/>
          <w:caps w:val="0"/>
          <w:spacing w:val="0"/>
          <w:w w:val="100"/>
          <w:sz w:val="32"/>
          <w:szCs w:val="32"/>
          <w:lang w:val="en-US" w:eastAsia="zh-CN"/>
        </w:rPr>
      </w:pPr>
      <w:r>
        <w:rPr>
          <w:rFonts w:hint="eastAsia" w:ascii="仿宋" w:hAnsi="仿宋" w:eastAsia="仿宋" w:cs="仿宋"/>
          <w:sz w:val="32"/>
          <w:szCs w:val="32"/>
          <w:lang w:val="en-US" w:eastAsia="zh-CN"/>
        </w:rPr>
        <w:t>通过新型职业农民培养，大大提高了种植专业农户的生产技术水平，解决了农民生产中遇到的技术难题，提高了农作物的产量和质量。其中肖家堡宏远葡萄专业合作社教学点学员张永宏种植西红柿大棚两个，姜海管理葡萄大棚一个，岳金明管理黄桃大棚一个,涿鹿县职教中心对这部分学员开展训后跟踪服务多次，帮助他们解决生产当中遇到的技术难题，为他们实现农业增效、农民增收提供了技术支撑。大堡镇教学点学员马丽夫妻二人今年承包的土地就种植了将近130余亩，王小军种植</w:t>
      </w:r>
      <w:r>
        <w:rPr>
          <w:rFonts w:hint="eastAsia" w:ascii="仿宋" w:hAnsi="仿宋" w:eastAsia="仿宋" w:cs="仿宋"/>
          <w:b w:val="0"/>
          <w:i w:val="0"/>
          <w:caps w:val="0"/>
          <w:spacing w:val="0"/>
          <w:w w:val="100"/>
          <w:sz w:val="32"/>
          <w:szCs w:val="32"/>
          <w:lang w:val="en-US" w:eastAsia="zh-CN"/>
        </w:rPr>
        <w:t>错季蔬菜大棚3个，</w:t>
      </w:r>
      <w:r>
        <w:rPr>
          <w:rFonts w:hint="eastAsia" w:ascii="仿宋" w:hAnsi="仿宋" w:eastAsia="仿宋" w:cs="仿宋"/>
          <w:sz w:val="32"/>
          <w:szCs w:val="32"/>
          <w:lang w:val="en-US" w:eastAsia="zh-CN"/>
        </w:rPr>
        <w:t>在职教中心来村培训期间，他们积极主动报名，调配开与农事冲突的时间，在种植专业技术老师指导授课的过程中，他们都认真听讲，认真笔记，通过</w:t>
      </w:r>
      <w:r>
        <w:rPr>
          <w:rFonts w:hint="eastAsia" w:ascii="仿宋" w:hAnsi="仿宋" w:eastAsia="仿宋" w:cs="仿宋"/>
          <w:b w:val="0"/>
          <w:i w:val="0"/>
          <w:caps w:val="0"/>
          <w:spacing w:val="0"/>
          <w:w w:val="100"/>
          <w:sz w:val="32"/>
          <w:szCs w:val="32"/>
          <w:lang w:eastAsia="zh-CN"/>
        </w:rPr>
        <w:t>学习</w:t>
      </w:r>
      <w:r>
        <w:rPr>
          <w:rFonts w:hint="eastAsia" w:ascii="仿宋" w:hAnsi="仿宋" w:eastAsia="仿宋" w:cs="仿宋"/>
          <w:b w:val="0"/>
          <w:i w:val="0"/>
          <w:caps w:val="0"/>
          <w:spacing w:val="0"/>
          <w:w w:val="100"/>
          <w:sz w:val="32"/>
          <w:szCs w:val="32"/>
          <w:lang w:val="en-US" w:eastAsia="zh-CN"/>
        </w:rPr>
        <w:t>熟悉了</w:t>
      </w:r>
      <w:r>
        <w:rPr>
          <w:rFonts w:hint="eastAsia" w:ascii="仿宋" w:hAnsi="仿宋" w:eastAsia="仿宋" w:cs="仿宋"/>
          <w:b w:val="0"/>
          <w:i w:val="0"/>
          <w:caps w:val="0"/>
          <w:spacing w:val="0"/>
          <w:w w:val="100"/>
          <w:sz w:val="32"/>
          <w:szCs w:val="32"/>
          <w:lang w:eastAsia="zh-CN"/>
        </w:rPr>
        <w:t>种植产业的专业知识，掌握</w:t>
      </w:r>
      <w:r>
        <w:rPr>
          <w:rFonts w:hint="eastAsia" w:ascii="仿宋" w:hAnsi="仿宋" w:eastAsia="仿宋" w:cs="仿宋"/>
          <w:b w:val="0"/>
          <w:i w:val="0"/>
          <w:caps w:val="0"/>
          <w:spacing w:val="0"/>
          <w:w w:val="100"/>
          <w:sz w:val="32"/>
          <w:szCs w:val="32"/>
          <w:lang w:val="en-US" w:eastAsia="zh-CN"/>
        </w:rPr>
        <w:t>了错季蔬菜病虫害防治技术</w:t>
      </w:r>
      <w:r>
        <w:rPr>
          <w:rFonts w:hint="eastAsia" w:ascii="仿宋" w:hAnsi="仿宋" w:eastAsia="仿宋" w:cs="仿宋"/>
          <w:b w:val="0"/>
          <w:i w:val="0"/>
          <w:caps w:val="0"/>
          <w:spacing w:val="0"/>
          <w:w w:val="100"/>
          <w:sz w:val="32"/>
          <w:szCs w:val="32"/>
          <w:lang w:eastAsia="zh-CN"/>
        </w:rPr>
        <w:t>，能够运用科学技术管理田间地头，提高生产效率，达到增</w:t>
      </w:r>
      <w:r>
        <w:rPr>
          <w:rFonts w:hint="eastAsia" w:ascii="仿宋" w:hAnsi="仿宋" w:eastAsia="仿宋" w:cs="仿宋"/>
          <w:b w:val="0"/>
          <w:i w:val="0"/>
          <w:caps w:val="0"/>
          <w:spacing w:val="0"/>
          <w:w w:val="100"/>
          <w:sz w:val="32"/>
          <w:szCs w:val="32"/>
          <w:lang w:val="en-US" w:eastAsia="zh-CN"/>
        </w:rPr>
        <w:t>产</w:t>
      </w:r>
      <w:r>
        <w:rPr>
          <w:rFonts w:hint="eastAsia" w:ascii="仿宋" w:hAnsi="仿宋" w:eastAsia="仿宋" w:cs="仿宋"/>
          <w:b w:val="0"/>
          <w:i w:val="0"/>
          <w:caps w:val="0"/>
          <w:spacing w:val="0"/>
          <w:w w:val="100"/>
          <w:sz w:val="32"/>
          <w:szCs w:val="32"/>
          <w:lang w:eastAsia="zh-CN"/>
        </w:rPr>
        <w:t>增收的目的。</w:t>
      </w:r>
      <w:r>
        <w:rPr>
          <w:rFonts w:hint="eastAsia" w:ascii="仿宋" w:hAnsi="仿宋" w:eastAsia="仿宋" w:cs="仿宋"/>
          <w:b w:val="0"/>
          <w:i w:val="0"/>
          <w:caps w:val="0"/>
          <w:spacing w:val="0"/>
          <w:w w:val="100"/>
          <w:sz w:val="32"/>
          <w:szCs w:val="32"/>
          <w:lang w:val="en-US" w:eastAsia="zh-CN"/>
        </w:rPr>
        <w:t>马丽夫妻种植的马铃薯每亩产量增加300斤左右，产品质量也有所提高。</w:t>
      </w:r>
      <w:r>
        <w:rPr>
          <w:rFonts w:hint="eastAsia" w:ascii="仿宋" w:hAnsi="仿宋" w:eastAsia="仿宋" w:cs="仿宋"/>
          <w:sz w:val="32"/>
          <w:szCs w:val="32"/>
          <w:lang w:val="en-US" w:eastAsia="zh-CN"/>
        </w:rPr>
        <w:t>王小军种植的</w:t>
      </w:r>
      <w:r>
        <w:rPr>
          <w:rFonts w:hint="eastAsia" w:ascii="仿宋" w:hAnsi="仿宋" w:eastAsia="仿宋" w:cs="仿宋"/>
          <w:b w:val="0"/>
          <w:i w:val="0"/>
          <w:caps w:val="0"/>
          <w:spacing w:val="0"/>
          <w:w w:val="100"/>
          <w:sz w:val="32"/>
          <w:szCs w:val="32"/>
          <w:lang w:val="en-US" w:eastAsia="zh-CN"/>
        </w:rPr>
        <w:t>错季蔬菜大棚产量明显增长。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楷体" w:hAnsi="楷体" w:eastAsia="楷体" w:cs="楷体"/>
          <w:b w:val="0"/>
          <w:bCs/>
          <w:kern w:val="2"/>
          <w:sz w:val="32"/>
          <w:szCs w:val="22"/>
          <w:lang w:val="en-US" w:eastAsia="zh-CN" w:bidi="ar-SA"/>
        </w:rPr>
      </w:pPr>
      <w:r>
        <w:rPr>
          <w:rFonts w:hint="default" w:ascii="楷体" w:hAnsi="楷体" w:eastAsia="楷体" w:cs="楷体"/>
          <w:b w:val="0"/>
          <w:bCs/>
          <w:kern w:val="2"/>
          <w:sz w:val="32"/>
          <w:szCs w:val="22"/>
          <w:lang w:val="en-US" w:eastAsia="zh-CN" w:bidi="ar-SA"/>
        </w:rPr>
        <w:t>6.</w:t>
      </w:r>
      <w:r>
        <w:rPr>
          <w:rFonts w:hint="eastAsia" w:ascii="楷体" w:hAnsi="楷体" w:eastAsia="楷体" w:cs="楷体"/>
          <w:b w:val="0"/>
          <w:bCs/>
          <w:kern w:val="2"/>
          <w:sz w:val="32"/>
          <w:szCs w:val="22"/>
          <w:lang w:val="en-US" w:eastAsia="zh-CN" w:bidi="ar-SA"/>
        </w:rPr>
        <w:t>实训基地建设</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坐落在矾山镇的涿鹿县宏远葡萄专业合作社，占地200亩，设施农业大棚30多个，种植各种蔬菜、葡萄等，大田作物有仁用杏、苹果、梨及区域农产品，非常适合种植专业人员开展培训及实践。经涿鹿县职教中心领导与该合作社负责人协商，决定该合作社作为新型职业农民培养实践实训基地，同时用于建设和提升以服务地方经济发展和农民增收致富急需的中职专业学生的实践实习基地，供学员和学生实习，熟悉区域农作物生产全过程，掌握农作物生产技能。</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为满足新型职业农民培养的需要，涿鹿县职教中多措并举，建立了</w:t>
      </w:r>
      <w:r>
        <w:rPr>
          <w:rFonts w:hint="eastAsia" w:ascii="仿宋" w:hAnsi="仿宋" w:eastAsia="仿宋" w:cs="仿宋"/>
          <w:i w:val="0"/>
          <w:iCs w:val="0"/>
          <w:caps w:val="0"/>
          <w:color w:val="05073B"/>
          <w:spacing w:val="0"/>
          <w:sz w:val="32"/>
          <w:szCs w:val="32"/>
          <w:u w:val="none"/>
          <w:lang w:val="en-US" w:eastAsia="zh-CN"/>
        </w:rPr>
        <w:t>新型职业农民培养电商专业实践基地（农副产品销售直播间），满足培训学员开展电商实操训练。</w:t>
      </w:r>
      <w:r>
        <w:rPr>
          <w:rFonts w:hint="eastAsia" w:ascii="仿宋" w:hAnsi="仿宋" w:eastAsia="仿宋" w:cs="仿宋"/>
          <w:sz w:val="32"/>
          <w:szCs w:val="32"/>
          <w:lang w:val="en-US" w:eastAsia="zh-CN"/>
        </w:rPr>
        <w:t>为农民提供了新的就业机会，还对当地农产品提供了一个广阔的销售渠道，减少了对中间商的依赖，提高了收入。同时可以展示农村的风土人情，促进乡村旅游的发展，也能够吸引更多的人才回到乡村，参与到乡村的建设和发展中。</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lang w:val="en-US" w:eastAsia="zh-CN"/>
        </w:rPr>
      </w:pPr>
      <w:r>
        <w:rPr>
          <w:rFonts w:hint="default" w:ascii="楷体" w:hAnsi="楷体" w:eastAsia="楷体" w:cs="楷体"/>
          <w:b w:val="0"/>
          <w:bCs/>
          <w:kern w:val="2"/>
          <w:sz w:val="32"/>
          <w:szCs w:val="22"/>
          <w:lang w:val="en-US" w:eastAsia="zh-CN" w:bidi="ar-SA"/>
        </w:rPr>
        <w:t>7.</w:t>
      </w:r>
      <w:r>
        <w:rPr>
          <w:rFonts w:hint="eastAsia" w:ascii="楷体" w:hAnsi="楷体" w:eastAsia="楷体" w:cs="楷体"/>
          <w:b w:val="0"/>
          <w:bCs/>
          <w:kern w:val="2"/>
          <w:sz w:val="32"/>
          <w:szCs w:val="22"/>
          <w:lang w:val="en-US" w:eastAsia="zh-CN" w:bidi="ar-SA"/>
        </w:rPr>
        <w:t>全日制中职生招生</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涿鹿县职教中心组织相关专业人员与北方学院农林科技学院专业教师就开设全日制农作物生产技术专班的课程设置，开展调研活动，确立教学计划，谋划招生事宜，制作招生简章，</w:t>
      </w:r>
      <w:r>
        <w:rPr>
          <w:rFonts w:hint="eastAsia" w:ascii="仿宋" w:hAnsi="仿宋" w:eastAsia="仿宋" w:cs="仿宋"/>
          <w:sz w:val="32"/>
          <w:szCs w:val="32"/>
        </w:rPr>
        <w:t>招收建设和升级以服务当地经济发展和农民增收致富急需的作为生产技术中职专业学生39人</w:t>
      </w:r>
      <w:r>
        <w:rPr>
          <w:rFonts w:hint="eastAsia" w:ascii="仿宋" w:hAnsi="仿宋" w:eastAsia="仿宋" w:cs="仿宋"/>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楷体" w:hAnsi="楷体" w:eastAsia="楷体" w:cs="楷体"/>
          <w:b w:val="0"/>
          <w:bCs/>
          <w:kern w:val="2"/>
          <w:sz w:val="32"/>
          <w:szCs w:val="22"/>
          <w:lang w:val="en-US" w:eastAsia="zh-CN" w:bidi="ar-SA"/>
        </w:rPr>
      </w:pPr>
      <w:r>
        <w:rPr>
          <w:rFonts w:hint="default" w:ascii="楷体" w:hAnsi="楷体" w:eastAsia="楷体" w:cs="楷体"/>
          <w:b w:val="0"/>
          <w:bCs/>
          <w:kern w:val="2"/>
          <w:sz w:val="32"/>
          <w:szCs w:val="22"/>
          <w:lang w:val="en-US" w:eastAsia="zh-CN" w:bidi="ar-SA"/>
        </w:rPr>
        <w:t>8.</w:t>
      </w:r>
      <w:r>
        <w:rPr>
          <w:rFonts w:hint="eastAsia" w:ascii="楷体" w:hAnsi="楷体" w:eastAsia="楷体" w:cs="楷体"/>
          <w:b w:val="0"/>
          <w:bCs/>
          <w:kern w:val="2"/>
          <w:sz w:val="32"/>
          <w:szCs w:val="22"/>
          <w:lang w:val="en-US" w:eastAsia="zh-CN" w:bidi="ar-SA"/>
        </w:rPr>
        <w:t>系统上报和宣传工作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认真及时完成河北省中职学校新型职业农民培养材料系统上报工作，并对近一年的新型职业农民开展情况进行实时宣传，多篇报道在省、市、县多个媒体上发表，提高了新型职业农民培养项目的知名度和影响力。</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楷体" w:hAnsi="楷体" w:eastAsia="楷体" w:cs="楷体"/>
          <w:b w:val="0"/>
          <w:bCs/>
          <w:kern w:val="2"/>
          <w:sz w:val="32"/>
          <w:szCs w:val="22"/>
          <w:lang w:val="en-US" w:eastAsia="zh-CN" w:bidi="ar-SA"/>
        </w:rPr>
      </w:pPr>
      <w:r>
        <w:rPr>
          <w:rFonts w:hint="default" w:ascii="楷体" w:hAnsi="楷体" w:eastAsia="楷体" w:cs="楷体"/>
          <w:b w:val="0"/>
          <w:bCs/>
          <w:kern w:val="2"/>
          <w:sz w:val="32"/>
          <w:szCs w:val="22"/>
          <w:lang w:val="en-US" w:eastAsia="zh-CN" w:bidi="ar-SA"/>
        </w:rPr>
        <w:t>9.</w:t>
      </w:r>
      <w:r>
        <w:rPr>
          <w:rFonts w:hint="eastAsia" w:ascii="楷体" w:hAnsi="楷体" w:eastAsia="楷体" w:cs="楷体"/>
          <w:b w:val="0"/>
          <w:bCs/>
          <w:kern w:val="2"/>
          <w:sz w:val="32"/>
          <w:szCs w:val="22"/>
          <w:lang w:val="en-US" w:eastAsia="zh-CN" w:bidi="ar-SA"/>
        </w:rPr>
        <w:t>今后工作重点</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lang w:val="en-US" w:eastAsia="zh-CN"/>
        </w:rPr>
      </w:pPr>
      <w:r>
        <w:rPr>
          <w:rFonts w:hint="eastAsia" w:ascii="仿宋" w:hAnsi="仿宋" w:eastAsia="仿宋" w:cs="仿宋"/>
          <w:sz w:val="32"/>
          <w:szCs w:val="32"/>
          <w:lang w:val="en-US" w:eastAsia="zh-CN"/>
        </w:rPr>
        <w:t>今后，我们将充分利用北方学院高校帮扶优势，特别是师资力量，网络课程及校地合作优势，做到资源共享，提升培训效果，重点围绕区域经济发展需求培养服务地方特色产业，龙头企业，产业大户生产发展急需的一线技术技能人才，培养区域特色的农村一、二、三产业融合发展专业人才，以及适应农村劳动力转移的康养育婴专业人才</w:t>
      </w:r>
    </w:p>
    <w:p>
      <w:pPr>
        <w:pStyle w:val="10"/>
        <w:keepNext w:val="0"/>
        <w:keepLines w:val="0"/>
        <w:pageBreakBefore w:val="0"/>
        <w:widowControl w:val="0"/>
        <w:kinsoku/>
        <w:wordWrap/>
        <w:overflowPunct/>
        <w:topLinePunct w:val="0"/>
        <w:autoSpaceDE/>
        <w:autoSpaceDN/>
        <w:bidi w:val="0"/>
        <w:adjustRightInd/>
        <w:snapToGrid/>
        <w:spacing w:line="560" w:lineRule="exact"/>
        <w:ind w:left="0" w:leftChars="0" w:firstLine="482" w:firstLineChars="200"/>
        <w:jc w:val="left"/>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 xml:space="preserve">典型案例 </w:t>
      </w:r>
      <w:r>
        <w:rPr>
          <w:rFonts w:hint="eastAsia" w:ascii="仿宋" w:hAnsi="仿宋" w:eastAsia="仿宋" w:cs="仿宋"/>
          <w:b/>
          <w:bCs/>
          <w:kern w:val="2"/>
          <w:sz w:val="24"/>
          <w:szCs w:val="24"/>
          <w:lang w:val="en-US" w:eastAsia="zh-CN" w:bidi="ar-SA"/>
        </w:rPr>
        <w:fldChar w:fldCharType="begin"/>
      </w:r>
      <w:r>
        <w:rPr>
          <w:rFonts w:hint="eastAsia" w:ascii="仿宋" w:hAnsi="仿宋" w:eastAsia="仿宋" w:cs="仿宋"/>
          <w:b/>
          <w:bCs/>
          <w:kern w:val="2"/>
          <w:sz w:val="24"/>
          <w:szCs w:val="24"/>
          <w:lang w:val="en-US" w:eastAsia="zh-CN" w:bidi="ar-SA"/>
        </w:rPr>
        <w:instrText xml:space="preserve"> SEQ 典型案例 \* ARABIC </w:instrText>
      </w:r>
      <w:r>
        <w:rPr>
          <w:rFonts w:hint="eastAsia" w:ascii="仿宋" w:hAnsi="仿宋" w:eastAsia="仿宋" w:cs="仿宋"/>
          <w:b/>
          <w:bCs/>
          <w:kern w:val="2"/>
          <w:sz w:val="24"/>
          <w:szCs w:val="24"/>
          <w:lang w:val="en-US" w:eastAsia="zh-CN" w:bidi="ar-SA"/>
        </w:rPr>
        <w:fldChar w:fldCharType="separate"/>
      </w:r>
      <w:r>
        <w:rPr>
          <w:rFonts w:hint="eastAsia" w:ascii="仿宋" w:hAnsi="仿宋" w:eastAsia="仿宋" w:cs="仿宋"/>
          <w:b/>
          <w:bCs/>
          <w:kern w:val="2"/>
          <w:sz w:val="24"/>
          <w:szCs w:val="24"/>
          <w:lang w:val="en-US" w:eastAsia="zh-CN" w:bidi="ar-SA"/>
        </w:rPr>
        <w:t>5</w:t>
      </w:r>
      <w:r>
        <w:rPr>
          <w:rFonts w:hint="eastAsia" w:ascii="仿宋" w:hAnsi="仿宋" w:eastAsia="仿宋" w:cs="仿宋"/>
          <w:b/>
          <w:bCs/>
          <w:kern w:val="2"/>
          <w:sz w:val="24"/>
          <w:szCs w:val="24"/>
          <w:lang w:val="en-US" w:eastAsia="zh-CN" w:bidi="ar-SA"/>
        </w:rPr>
        <w:fldChar w:fldCharType="end"/>
      </w:r>
      <w:bookmarkStart w:id="80" w:name="_Toc11068"/>
      <w:bookmarkEnd w:id="80"/>
      <w:bookmarkStart w:id="81" w:name="_Toc19760"/>
      <w:bookmarkEnd w:id="8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驻村帮扶攻坚行动</w:t>
      </w:r>
    </w:p>
    <w:p>
      <w:pPr>
        <w:keepNext w:val="0"/>
        <w:keepLines w:val="0"/>
        <w:pageBreakBefore w:val="0"/>
        <w:widowControl/>
        <w:suppressLineNumbers w:val="0"/>
        <w:kinsoku/>
        <w:wordWrap/>
        <w:overflowPunct/>
        <w:topLinePunct w:val="0"/>
        <w:autoSpaceDE/>
        <w:autoSpaceDN/>
        <w:bidi w:val="0"/>
        <w:adjustRightInd/>
        <w:snapToGrid/>
        <w:spacing w:line="560" w:lineRule="exact"/>
        <w:ind w:right="0" w:rightChars="0" w:firstLine="640" w:firstLineChars="200"/>
        <w:jc w:val="left"/>
        <w:textAlignment w:val="auto"/>
        <w:outlineLvl w:val="9"/>
      </w:pPr>
      <w:r>
        <w:rPr>
          <w:rFonts w:hint="eastAsia" w:ascii="仿宋" w:hAnsi="仿宋" w:eastAsia="仿宋" w:cs="仿宋"/>
          <w:sz w:val="32"/>
          <w:szCs w:val="32"/>
          <w:lang w:val="en-US" w:eastAsia="zh-CN"/>
        </w:rPr>
        <w:t>为进一步压实工作责任，切实发挥派出单位后盾作用，跟踪并管好驻村干部，涿鹿县职教中心党委根据《河北省乡村振兴驻村干部选派管理办法》规定和县委领导要求，积极展开驻村帮扶攻坚行动。在省防返贫监测后评估工作到来之际，11月5日，该校党委书记陈立东、纪委书记石玉生、党委办主任刘晓艳和行政办主任展晓博一行，到南山区者衣石村对本单位选派的驻村工作队干部进行慰问并与村“两委”、驻村工作队员召开座谈会。</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座谈期间，陈立东一行听取了驻村第一书记白云鹤关于今年以来的驻村工作汇报，听取了村“两委”干部和党员、群众代表对驻村干部和多年来驻村帮扶工作的评价和建议。同时，通过互动交流党委对三位驻村干部的思想、学习、工作和生活情况进行了深入了解。大家一致认为，驻村工作队整体政治素质、履职能力过硬，能够按要求积极落实工作职责、及时学习和掌握政策、开展入户走访深入了解村情户情，很好地完成了各项工作任务。同时，在学校党委的领导、关心和支持下，三位队员很好地充当了者衣石村民的主心骨、贴心人。</w:t>
      </w:r>
    </w:p>
    <w:p>
      <w:pPr>
        <w:pStyle w:val="2"/>
        <w:keepNext w:val="0"/>
        <w:keepLines w:val="0"/>
        <w:pageBreakBefore w:val="0"/>
        <w:kinsoku/>
        <w:wordWrap/>
        <w:overflowPunct/>
        <w:topLinePunct w:val="0"/>
        <w:autoSpaceDE/>
        <w:autoSpaceDN/>
        <w:bidi w:val="0"/>
        <w:adjustRightInd/>
        <w:snapToGrid/>
        <w:spacing w:before="0" w:line="560" w:lineRule="exact"/>
        <w:ind w:left="0" w:leftChars="0" w:right="0" w:rightChars="0" w:firstLine="640" w:firstLineChars="200"/>
        <w:jc w:val="left"/>
        <w:textAlignment w:val="auto"/>
        <w:outlineLvl w:val="9"/>
        <w:rPr>
          <w:rFonts w:hint="eastAsia"/>
          <w:lang w:val="en-US" w:eastAsia="zh-CN"/>
        </w:rPr>
      </w:pPr>
      <w:r>
        <w:rPr>
          <w:rFonts w:hint="eastAsia"/>
          <w:lang w:val="en-US" w:eastAsia="zh-CN"/>
        </w:rPr>
        <w:t>陈立东还详细了解了今年村集体经济即银杏种植产业的收入情况以及后续管理计划，询问驻村工作队生活上是否存在困难。会后就工作队住处取暖问题进行了具体安排和安全提示。</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center"/>
        <w:textAlignment w:val="auto"/>
        <w:rPr>
          <w:rFonts w:hint="eastAsia" w:eastAsia="仿宋"/>
          <w:lang w:val="en-US" w:eastAsia="zh-CN"/>
        </w:rPr>
      </w:pPr>
      <w:r>
        <w:rPr>
          <w:rFonts w:ascii="宋体" w:hAnsi="宋体" w:eastAsia="宋体" w:cs="宋体"/>
          <w:sz w:val="24"/>
          <w:szCs w:val="24"/>
        </w:rPr>
        <w:drawing>
          <wp:anchor distT="0" distB="0" distL="114300" distR="114300" simplePos="0" relativeHeight="251670528" behindDoc="0" locked="0" layoutInCell="1" allowOverlap="1">
            <wp:simplePos x="0" y="0"/>
            <wp:positionH relativeFrom="column">
              <wp:posOffset>584200</wp:posOffset>
            </wp:positionH>
            <wp:positionV relativeFrom="paragraph">
              <wp:posOffset>75565</wp:posOffset>
            </wp:positionV>
            <wp:extent cx="4485005" cy="2915920"/>
            <wp:effectExtent l="0" t="0" r="10795" b="10160"/>
            <wp:wrapTopAndBottom/>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37" r:link="rId38"/>
                    <a:stretch>
                      <a:fillRect/>
                    </a:stretch>
                  </pic:blipFill>
                  <pic:spPr>
                    <a:xfrm>
                      <a:off x="0" y="0"/>
                      <a:ext cx="4485005" cy="2915920"/>
                    </a:xfrm>
                    <a:prstGeom prst="rect">
                      <a:avLst/>
                    </a:prstGeom>
                    <a:noFill/>
                    <a:ln w="9525">
                      <a:noFill/>
                      <a:miter/>
                    </a:ln>
                  </pic:spPr>
                </pic:pic>
              </a:graphicData>
            </a:graphic>
          </wp:anchor>
        </w:drawing>
      </w:r>
      <w:r>
        <w:t xml:space="preserve">图 </w:t>
      </w:r>
      <w:r>
        <w:fldChar w:fldCharType="begin"/>
      </w:r>
      <w:r>
        <w:instrText xml:space="preserve"> SEQ 图 \* ARABIC </w:instrText>
      </w:r>
      <w:r>
        <w:fldChar w:fldCharType="separate"/>
      </w:r>
      <w:r>
        <w:t>10</w:t>
      </w:r>
      <w:r>
        <w:fldChar w:fldCharType="end"/>
      </w:r>
      <w:bookmarkStart w:id="82" w:name="_Toc17774"/>
      <w:bookmarkStart w:id="83" w:name="_Toc1865"/>
      <w:bookmarkStart w:id="84" w:name="_Toc25741"/>
      <w:r>
        <w:rPr>
          <w:rFonts w:hint="eastAsia"/>
          <w:lang w:val="en-US" w:eastAsia="zh-CN"/>
        </w:rPr>
        <w:t>座谈会后合影留念</w:t>
      </w:r>
      <w:bookmarkEnd w:id="82"/>
      <w:bookmarkEnd w:id="83"/>
      <w:bookmarkEnd w:id="84"/>
    </w:p>
    <w:p>
      <w:pPr>
        <w:pStyle w:val="5"/>
        <w:keepNext/>
        <w:keepLines/>
        <w:pageBreakBefore w:val="0"/>
        <w:widowControl w:val="0"/>
        <w:kinsoku/>
        <w:wordWrap/>
        <w:overflowPunct/>
        <w:topLinePunct w:val="0"/>
        <w:autoSpaceDE/>
        <w:autoSpaceDN/>
        <w:bidi w:val="0"/>
        <w:adjustRightInd/>
        <w:snapToGrid/>
        <w:spacing w:before="0" w:after="0" w:line="560" w:lineRule="exact"/>
        <w:ind w:firstLine="320" w:firstLineChars="100"/>
        <w:jc w:val="left"/>
        <w:textAlignment w:val="auto"/>
        <w:outlineLvl w:val="1"/>
        <w:rPr>
          <w:rFonts w:hint="eastAsia"/>
          <w:lang w:val="en-US" w:eastAsia="zh-CN"/>
        </w:rPr>
      </w:pPr>
      <w:bookmarkStart w:id="85" w:name="_Toc89"/>
      <w:bookmarkStart w:id="86" w:name="_Toc16528"/>
      <w:r>
        <w:rPr>
          <w:rFonts w:hint="eastAsia" w:ascii="楷体" w:hAnsi="楷体" w:eastAsia="楷体" w:cs="楷体"/>
          <w:b w:val="0"/>
          <w:bCs/>
          <w:lang w:val="en-US" w:eastAsia="zh-CN"/>
        </w:rPr>
        <w:t>（三）服务地方社区</w:t>
      </w:r>
      <w:bookmarkEnd w:id="85"/>
      <w:bookmarkEnd w:id="86"/>
    </w:p>
    <w:p>
      <w:pPr>
        <w:pStyle w:val="21"/>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涿鹿开放大学，全员动员加大招生宣传力度，上门联系生源单位，开拓生源渠道，提升招生优质服务和管理水平，加强内涵建设。</w:t>
      </w:r>
    </w:p>
    <w:p>
      <w:pPr>
        <w:pStyle w:val="21"/>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2024年开放教育共计报名332人，现有在籍学生821人。为800多名学生进行了课程注册，注册课程5400多科次；为130名开放教育学生办理了毕业证书。</w:t>
      </w:r>
    </w:p>
    <w:p>
      <w:pPr>
        <w:pStyle w:val="21"/>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2024年7月，为响应“老有所学、老有所乐”的老年教育，涿鹿县职业技术教育中心老年开放大学在四小校区成立。现招收老年学员296人，设有社会艺术团体8个，极大带动了涿鹿县老年教育工作。</w:t>
      </w:r>
    </w:p>
    <w:p>
      <w:pPr>
        <w:pStyle w:val="21"/>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320" w:firstLineChars="100"/>
        <w:textAlignment w:val="auto"/>
        <w:outlineLvl w:val="1"/>
        <w:rPr>
          <w:rFonts w:hint="eastAsia"/>
          <w:lang w:val="en-US" w:eastAsia="zh-CN"/>
        </w:rPr>
      </w:pPr>
      <w:bookmarkStart w:id="87" w:name="_Toc11425"/>
      <w:bookmarkStart w:id="88" w:name="_Toc22637"/>
      <w:r>
        <w:rPr>
          <w:rFonts w:hint="eastAsia" w:ascii="楷体" w:hAnsi="楷体" w:eastAsia="楷体" w:cs="楷体"/>
          <w:b w:val="0"/>
          <w:bCs/>
          <w:kern w:val="2"/>
          <w:sz w:val="32"/>
          <w:szCs w:val="22"/>
          <w:lang w:val="en-US" w:eastAsia="zh-CN" w:bidi="ar-SA"/>
        </w:rPr>
        <w:t>（四）具有本校特色的服务</w:t>
      </w:r>
      <w:bookmarkEnd w:id="87"/>
      <w:bookmarkEnd w:id="88"/>
    </w:p>
    <w:p>
      <w:pPr>
        <w:pStyle w:val="10"/>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2" w:firstLineChars="200"/>
        <w:jc w:val="left"/>
        <w:textAlignment w:val="auto"/>
        <w:outlineLvl w:val="9"/>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 xml:space="preserve">典型案例 </w:t>
      </w:r>
      <w:r>
        <w:rPr>
          <w:rFonts w:hint="eastAsia" w:ascii="仿宋" w:hAnsi="仿宋" w:eastAsia="仿宋" w:cs="仿宋"/>
          <w:b/>
          <w:bCs/>
          <w:kern w:val="2"/>
          <w:sz w:val="24"/>
          <w:szCs w:val="24"/>
          <w:lang w:val="en-US" w:eastAsia="zh-CN" w:bidi="ar-SA"/>
        </w:rPr>
        <w:fldChar w:fldCharType="begin"/>
      </w:r>
      <w:r>
        <w:rPr>
          <w:rFonts w:hint="eastAsia" w:ascii="仿宋" w:hAnsi="仿宋" w:eastAsia="仿宋" w:cs="仿宋"/>
          <w:b/>
          <w:bCs/>
          <w:kern w:val="2"/>
          <w:sz w:val="24"/>
          <w:szCs w:val="24"/>
          <w:lang w:val="en-US" w:eastAsia="zh-CN" w:bidi="ar-SA"/>
        </w:rPr>
        <w:instrText xml:space="preserve"> SEQ 典型案例 \* ARABIC </w:instrText>
      </w:r>
      <w:r>
        <w:rPr>
          <w:rFonts w:hint="eastAsia" w:ascii="仿宋" w:hAnsi="仿宋" w:eastAsia="仿宋" w:cs="仿宋"/>
          <w:b/>
          <w:bCs/>
          <w:kern w:val="2"/>
          <w:sz w:val="24"/>
          <w:szCs w:val="24"/>
          <w:lang w:val="en-US" w:eastAsia="zh-CN" w:bidi="ar-SA"/>
        </w:rPr>
        <w:fldChar w:fldCharType="separate"/>
      </w:r>
      <w:r>
        <w:rPr>
          <w:rFonts w:hint="eastAsia" w:ascii="仿宋" w:hAnsi="仿宋" w:eastAsia="仿宋" w:cs="仿宋"/>
          <w:b/>
          <w:bCs/>
          <w:kern w:val="2"/>
          <w:sz w:val="24"/>
          <w:szCs w:val="24"/>
          <w:lang w:val="en-US" w:eastAsia="zh-CN" w:bidi="ar-SA"/>
        </w:rPr>
        <w:t>6</w:t>
      </w:r>
      <w:r>
        <w:rPr>
          <w:rFonts w:hint="eastAsia" w:ascii="仿宋" w:hAnsi="仿宋" w:eastAsia="仿宋" w:cs="仿宋"/>
          <w:b/>
          <w:bCs/>
          <w:kern w:val="2"/>
          <w:sz w:val="24"/>
          <w:szCs w:val="24"/>
          <w:lang w:val="en-US" w:eastAsia="zh-CN" w:bidi="ar-SA"/>
        </w:rPr>
        <w:fldChar w:fldCharType="end"/>
      </w:r>
      <w:bookmarkStart w:id="89" w:name="_Toc7634"/>
      <w:bookmarkEnd w:id="89"/>
      <w:bookmarkStart w:id="90" w:name="_Toc14262"/>
      <w:bookmarkEnd w:id="90"/>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涿鹿县职教中心应邀为县供水公司提供礼仪培训服务</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仿宋" w:hAnsi="仿宋" w:eastAsia="仿宋" w:cs="仿宋"/>
          <w:kern w:val="2"/>
          <w:sz w:val="32"/>
          <w:szCs w:val="32"/>
          <w:lang w:val="en-US" w:eastAsia="zh-CN" w:bidi="ar-SA"/>
        </w:rPr>
      </w:pPr>
      <w:r>
        <w:rPr>
          <w:rFonts w:ascii="宋体" w:hAnsi="宋体" w:eastAsia="宋体" w:cs="宋体"/>
          <w:sz w:val="24"/>
          <w:szCs w:val="24"/>
        </w:rPr>
        <w:drawing>
          <wp:anchor distT="0" distB="0" distL="114300" distR="114300" simplePos="0" relativeHeight="251676672" behindDoc="0" locked="0" layoutInCell="1" allowOverlap="1">
            <wp:simplePos x="0" y="0"/>
            <wp:positionH relativeFrom="column">
              <wp:posOffset>377190</wp:posOffset>
            </wp:positionH>
            <wp:positionV relativeFrom="paragraph">
              <wp:posOffset>437515</wp:posOffset>
            </wp:positionV>
            <wp:extent cx="4904740" cy="2745740"/>
            <wp:effectExtent l="0" t="0" r="2540" b="12700"/>
            <wp:wrapTopAndBottom/>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39" r:link="rId40"/>
                    <a:stretch>
                      <a:fillRect/>
                    </a:stretch>
                  </pic:blipFill>
                  <pic:spPr>
                    <a:xfrm>
                      <a:off x="0" y="0"/>
                      <a:ext cx="4904740" cy="2745740"/>
                    </a:xfrm>
                    <a:prstGeom prst="rect">
                      <a:avLst/>
                    </a:prstGeom>
                    <a:noFill/>
                    <a:ln w="9525">
                      <a:noFill/>
                      <a:miter/>
                    </a:ln>
                  </pic:spPr>
                </pic:pic>
              </a:graphicData>
            </a:graphic>
          </wp:anchor>
        </w:drawing>
      </w:r>
      <w:r>
        <w:rPr>
          <w:rFonts w:hint="eastAsia" w:ascii="仿宋" w:hAnsi="仿宋" w:eastAsia="仿宋" w:cs="仿宋"/>
          <w:kern w:val="2"/>
          <w:sz w:val="32"/>
          <w:szCs w:val="32"/>
          <w:lang w:val="en-US" w:eastAsia="zh-CN" w:bidi="ar-SA"/>
        </w:rPr>
        <w:t>4月17日，涿鹿县供水公司副经理周乾惠、经理助理闫忠文</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2100" w:firstLineChars="1000"/>
        <w:jc w:val="both"/>
        <w:textAlignment w:val="auto"/>
        <w:outlineLvl w:val="9"/>
        <w:rPr>
          <w:rFonts w:hint="eastAsia" w:ascii="仿宋" w:hAnsi="仿宋" w:eastAsia="仿宋" w:cs="仿宋"/>
          <w:kern w:val="2"/>
          <w:sz w:val="24"/>
          <w:szCs w:val="24"/>
          <w:lang w:val="en-US" w:eastAsia="zh-CN" w:bidi="ar-SA"/>
        </w:rPr>
      </w:pPr>
      <w:r>
        <w:t xml:space="preserve">图 </w:t>
      </w:r>
      <w:r>
        <w:fldChar w:fldCharType="begin"/>
      </w:r>
      <w:r>
        <w:instrText xml:space="preserve"> SEQ 图 \* ARABIC </w:instrText>
      </w:r>
      <w:r>
        <w:fldChar w:fldCharType="separate"/>
      </w:r>
      <w:r>
        <w:t>11</w:t>
      </w:r>
      <w:r>
        <w:fldChar w:fldCharType="end"/>
      </w:r>
      <w:bookmarkStart w:id="91" w:name="_Toc32648"/>
      <w:bookmarkStart w:id="92" w:name="_Toc3601"/>
      <w:bookmarkStart w:id="93" w:name="_Toc12109"/>
      <w:bookmarkStart w:id="94" w:name="_Toc1719"/>
      <w:r>
        <w:rPr>
          <w:rFonts w:hint="eastAsia" w:ascii="仿宋" w:hAnsi="仿宋" w:eastAsia="仿宋" w:cs="仿宋"/>
          <w:kern w:val="2"/>
          <w:sz w:val="24"/>
          <w:szCs w:val="24"/>
          <w:lang w:val="en-US" w:eastAsia="zh-CN" w:bidi="ar-SA"/>
        </w:rPr>
        <w:t>供水公司副经理周乾慧向学校</w:t>
      </w:r>
      <w:bookmarkEnd w:id="91"/>
      <w:r>
        <w:rPr>
          <w:rFonts w:hint="eastAsia" w:ascii="仿宋" w:hAnsi="仿宋" w:eastAsia="仿宋" w:cs="仿宋"/>
          <w:kern w:val="2"/>
          <w:sz w:val="24"/>
          <w:szCs w:val="24"/>
          <w:lang w:val="en-US" w:eastAsia="zh-CN" w:bidi="ar-SA"/>
        </w:rPr>
        <w:t>送锦旗</w:t>
      </w:r>
      <w:bookmarkEnd w:id="92"/>
      <w:bookmarkEnd w:id="93"/>
      <w:bookmarkEnd w:id="94"/>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及办公室主任刘晓玲一行来到涿鹿县职教中心学校赠送锦旗，对学校派出老师为公司开展礼仪培训一事表示感谢，校长孟庆泉、党委办主任刘晓艳及行政办公室副主任任丽东接待。</w:t>
      </w:r>
    </w:p>
    <w:p>
      <w:pPr>
        <w:pStyle w:val="2"/>
        <w:keepNext w:val="0"/>
        <w:keepLines w:val="0"/>
        <w:pageBreakBefore w:val="0"/>
        <w:widowControl w:val="0"/>
        <w:kinsoku/>
        <w:wordWrap/>
        <w:overflowPunct/>
        <w:topLinePunct w:val="0"/>
        <w:autoSpaceDE/>
        <w:autoSpaceDN/>
        <w:bidi w:val="0"/>
        <w:adjustRightInd/>
        <w:snapToGrid/>
        <w:spacing w:before="0" w:line="560" w:lineRule="exact"/>
        <w:ind w:left="0" w:leftChars="0" w:right="0" w:rightChars="0" w:firstLine="640" w:firstLineChars="200"/>
        <w:jc w:val="both"/>
        <w:textAlignment w:val="auto"/>
        <w:outlineLvl w:val="9"/>
        <w:rPr>
          <w:rFonts w:hint="eastAsia"/>
          <w:lang w:val="en-US" w:eastAsia="zh-CN"/>
        </w:rPr>
      </w:pPr>
      <w:r>
        <w:rPr>
          <w:rFonts w:hint="eastAsia" w:ascii="仿宋" w:hAnsi="仿宋" w:eastAsia="仿宋" w:cs="仿宋"/>
          <w:kern w:val="2"/>
          <w:sz w:val="32"/>
          <w:szCs w:val="32"/>
          <w:lang w:val="en-US" w:eastAsia="zh-CN" w:bidi="ar-SA"/>
        </w:rPr>
        <w:t>为提高服务意识、优化营商环境，涿鹿县供水公司特于4月10日-4月11日组织全体员工开展“供水行业全员服务质量提升改进培训”，特邀职教中心姚冰娇老师担任主讲。</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姚冰娇以“小细节大文明”为题深入浅出地从供水服务接待礼仪、身姿仪态、微笑服务、文明用语、话术技巧等方面进行全方位的讲解，以典型的案例讲解、标准的动作示范为参训人员详细展现了“服务礼仪”礼节的主要内容，详实充足、幽默风趣，令现场充溢着轻松愉快的学习气氛。</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drawing>
          <wp:anchor distT="0" distB="0" distL="114300" distR="114300" simplePos="0" relativeHeight="251671552" behindDoc="0" locked="0" layoutInCell="1" allowOverlap="1">
            <wp:simplePos x="0" y="0"/>
            <wp:positionH relativeFrom="column">
              <wp:posOffset>274320</wp:posOffset>
            </wp:positionH>
            <wp:positionV relativeFrom="paragraph">
              <wp:posOffset>1402080</wp:posOffset>
            </wp:positionV>
            <wp:extent cx="5060315" cy="2656840"/>
            <wp:effectExtent l="0" t="0" r="14605" b="10160"/>
            <wp:wrapTopAndBottom/>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41" r:link="rId42"/>
                    <a:stretch>
                      <a:fillRect/>
                    </a:stretch>
                  </pic:blipFill>
                  <pic:spPr>
                    <a:xfrm>
                      <a:off x="0" y="0"/>
                      <a:ext cx="5060315" cy="2656840"/>
                    </a:xfrm>
                    <a:prstGeom prst="rect">
                      <a:avLst/>
                    </a:prstGeom>
                    <a:noFill/>
                    <a:ln w="9525">
                      <a:noFill/>
                      <a:miter/>
                    </a:ln>
                  </pic:spPr>
                </pic:pic>
              </a:graphicData>
            </a:graphic>
          </wp:anchor>
        </w:drawing>
      </w:r>
      <w:r>
        <w:rPr>
          <w:rFonts w:hint="eastAsia" w:ascii="仿宋" w:hAnsi="仿宋" w:eastAsia="仿宋" w:cs="仿宋"/>
          <w:kern w:val="2"/>
          <w:sz w:val="32"/>
          <w:szCs w:val="32"/>
          <w:lang w:val="en-US" w:eastAsia="zh-CN" w:bidi="ar-SA"/>
        </w:rPr>
        <w:t>员工们表示通过此次培训对服务内涵有了更深入的了解，明白了提升服务意识的重要性。供水公司领导对此次培训一致好评，并表达了后续合作的意向。</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eastAsia" w:ascii="仿宋" w:hAnsi="仿宋" w:eastAsia="仿宋" w:cs="仿宋"/>
          <w:kern w:val="2"/>
          <w:sz w:val="24"/>
          <w:szCs w:val="24"/>
          <w:lang w:val="en-US" w:eastAsia="zh-CN" w:bidi="ar-SA"/>
        </w:rPr>
      </w:pPr>
      <w:r>
        <w:t xml:space="preserve">图 </w:t>
      </w:r>
      <w:r>
        <w:fldChar w:fldCharType="begin"/>
      </w:r>
      <w:r>
        <w:instrText xml:space="preserve"> SEQ 图 \* ARABIC </w:instrText>
      </w:r>
      <w:r>
        <w:fldChar w:fldCharType="separate"/>
      </w:r>
      <w:r>
        <w:t>12</w:t>
      </w:r>
      <w:r>
        <w:fldChar w:fldCharType="end"/>
      </w:r>
      <w:bookmarkStart w:id="95" w:name="_Toc29424"/>
      <w:bookmarkStart w:id="96" w:name="_Toc29414"/>
      <w:bookmarkStart w:id="97" w:name="_Toc6392"/>
      <w:bookmarkStart w:id="98" w:name="_Toc27073"/>
      <w:r>
        <w:rPr>
          <w:rFonts w:hint="eastAsia"/>
          <w:lang w:eastAsia="zh-CN"/>
        </w:rPr>
        <w:t>学</w:t>
      </w:r>
      <w:r>
        <w:rPr>
          <w:rFonts w:hint="eastAsia" w:ascii="仿宋" w:hAnsi="仿宋" w:eastAsia="仿宋" w:cs="仿宋"/>
          <w:kern w:val="2"/>
          <w:sz w:val="24"/>
          <w:szCs w:val="24"/>
          <w:lang w:val="en-US" w:eastAsia="zh-CN" w:bidi="ar-SA"/>
        </w:rPr>
        <w:t>校礼仪服务老师姚冰娇为</w:t>
      </w:r>
      <w:bookmarkEnd w:id="95"/>
      <w:r>
        <w:rPr>
          <w:rFonts w:hint="eastAsia" w:ascii="仿宋" w:hAnsi="仿宋" w:eastAsia="仿宋" w:cs="仿宋"/>
          <w:kern w:val="2"/>
          <w:sz w:val="24"/>
          <w:szCs w:val="24"/>
          <w:lang w:val="en-US" w:eastAsia="zh-CN" w:bidi="ar-SA"/>
        </w:rPr>
        <w:t>供水行业员工培训</w:t>
      </w:r>
      <w:bookmarkEnd w:id="96"/>
      <w:bookmarkEnd w:id="97"/>
      <w:bookmarkEnd w:id="98"/>
    </w:p>
    <w:p>
      <w:pPr>
        <w:pStyle w:val="10"/>
        <w:jc w:val="cente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"https://mmbiz.qpic.cn/mmbiz_png/sqdmXaVX9kvFBApNIS6aaE18L6b5edIrnlw0pFZll66C6uPDH8ymOClolwIju0KLZCPs6tzJNFqtK1ZemNw2Hg/640?wx_fmt=png&amp;tp=wxpic&amp;wxfrom=5&amp;wx_lazy=1&amp;wx_co=1"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015865" cy="2550160"/>
            <wp:effectExtent l="0" t="0" r="13335" b="10160"/>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43" r:link="rId44"/>
                    <a:stretch>
                      <a:fillRect/>
                    </a:stretch>
                  </pic:blipFill>
                  <pic:spPr>
                    <a:xfrm>
                      <a:off x="0" y="0"/>
                      <a:ext cx="5015865" cy="2550160"/>
                    </a:xfrm>
                    <a:prstGeom prst="rect">
                      <a:avLst/>
                    </a:prstGeom>
                    <a:noFill/>
                    <a:ln w="9525">
                      <a:noFill/>
                      <a:miter/>
                    </a:ln>
                  </pic:spPr>
                </pic:pic>
              </a:graphicData>
            </a:graphic>
          </wp:inline>
        </w:drawing>
      </w:r>
      <w:r>
        <w:rPr>
          <w:rFonts w:ascii="宋体" w:hAnsi="宋体" w:eastAsia="宋体" w:cs="宋体"/>
          <w:sz w:val="24"/>
          <w:szCs w:val="24"/>
        </w:rPr>
        <w:fldChar w:fldCharType="end"/>
      </w:r>
    </w:p>
    <w:p>
      <w:pPr>
        <w:pStyle w:val="10"/>
        <w:jc w:val="center"/>
        <w:rPr>
          <w:rFonts w:hint="eastAsia" w:ascii="仿宋" w:hAnsi="仿宋" w:eastAsia="仿宋" w:cs="仿宋"/>
          <w:kern w:val="2"/>
          <w:sz w:val="24"/>
          <w:szCs w:val="24"/>
          <w:lang w:val="en-US" w:eastAsia="zh-CN" w:bidi="ar-SA"/>
        </w:rPr>
      </w:pPr>
      <w:r>
        <w:t xml:space="preserve">图 </w:t>
      </w:r>
      <w:r>
        <w:fldChar w:fldCharType="begin"/>
      </w:r>
      <w:r>
        <w:instrText xml:space="preserve"> SEQ 图 \* ARABIC </w:instrText>
      </w:r>
      <w:r>
        <w:fldChar w:fldCharType="separate"/>
      </w:r>
      <w:r>
        <w:t>13</w:t>
      </w:r>
      <w:r>
        <w:fldChar w:fldCharType="end"/>
      </w:r>
      <w:bookmarkStart w:id="99" w:name="_Toc26559"/>
      <w:bookmarkStart w:id="100" w:name="_Toc17862"/>
      <w:bookmarkStart w:id="101" w:name="_Toc19692"/>
      <w:bookmarkStart w:id="102" w:name="_Toc4192"/>
      <w:r>
        <w:rPr>
          <w:rFonts w:hint="eastAsia" w:ascii="仿宋" w:hAnsi="仿宋" w:eastAsia="仿宋" w:cs="仿宋"/>
          <w:kern w:val="2"/>
          <w:sz w:val="24"/>
          <w:szCs w:val="24"/>
          <w:lang w:val="en-US" w:eastAsia="zh-CN" w:bidi="ar-SA"/>
        </w:rPr>
        <w:t>学校姚冰娇老师受邀为供水行业窗口服务部门开展服务礼仪专项培训</w:t>
      </w:r>
      <w:bookmarkEnd w:id="99"/>
      <w:bookmarkEnd w:id="100"/>
      <w:bookmarkEnd w:id="101"/>
      <w:bookmarkEnd w:id="102"/>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lang w:val="en-US" w:eastAsia="zh-CN"/>
        </w:rPr>
      </w:pPr>
      <w:r>
        <w:rPr>
          <w:rFonts w:hint="eastAsia" w:ascii="仿宋" w:hAnsi="仿宋" w:eastAsia="仿宋" w:cs="仿宋"/>
          <w:kern w:val="2"/>
          <w:sz w:val="32"/>
          <w:szCs w:val="32"/>
          <w:lang w:val="en-US" w:eastAsia="zh-CN" w:bidi="ar-SA"/>
        </w:rPr>
        <w:t>“不学礼，无以立”，礼仪作为中华民族的传统美德源远流长经久不衰。涿鹿县职教中心秉持立德树人的办学初心，高度重视礼仪教育并为县委县政府、县教体局及县域其他各行各业大型会议活动提供礼仪服务，成为本地礼仪服务的一道靓丽风景，在县域周边口碑载道。</w:t>
      </w:r>
    </w:p>
    <w:bookmarkEnd w:id="64"/>
    <w:p>
      <w:pPr>
        <w:pStyle w:val="5"/>
        <w:keepNext/>
        <w:keepLines/>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left"/>
        <w:textAlignment w:val="auto"/>
        <w:outlineLvl w:val="0"/>
        <w:rPr>
          <w:rFonts w:hint="eastAsia"/>
          <w:b w:val="0"/>
          <w:bCs/>
          <w:lang w:val="en-US" w:eastAsia="zh-CN"/>
        </w:rPr>
      </w:pPr>
      <w:bookmarkStart w:id="103" w:name="_Toc18779"/>
      <w:r>
        <w:rPr>
          <w:rFonts w:hint="eastAsia"/>
          <w:b w:val="0"/>
          <w:bCs/>
          <w:lang w:val="en-US" w:eastAsia="zh-CN"/>
        </w:rPr>
        <w:fldChar w:fldCharType="begin"/>
      </w:r>
      <w:r>
        <w:rPr>
          <w:rFonts w:hint="eastAsia"/>
          <w:b w:val="0"/>
          <w:bCs/>
          <w:lang w:val="en-US" w:eastAsia="zh-CN"/>
        </w:rPr>
        <w:instrText xml:space="preserve"> HYPERLINK \l _Toc18898 </w:instrText>
      </w:r>
      <w:r>
        <w:rPr>
          <w:rFonts w:hint="eastAsia"/>
          <w:b w:val="0"/>
          <w:bCs/>
          <w:lang w:val="en-US" w:eastAsia="zh-CN"/>
        </w:rPr>
        <w:fldChar w:fldCharType="separate"/>
      </w:r>
      <w:r>
        <w:rPr>
          <w:rFonts w:hint="eastAsia"/>
          <w:b w:val="0"/>
          <w:bCs/>
          <w:lang w:val="en-US" w:eastAsia="zh-CN"/>
        </w:rPr>
        <w:t>四、文化传承</w:t>
      </w:r>
      <w:r>
        <w:rPr>
          <w:rFonts w:hint="eastAsia"/>
          <w:b w:val="0"/>
          <w:bCs/>
          <w:lang w:val="en-US" w:eastAsia="zh-CN"/>
        </w:rPr>
        <w:fldChar w:fldCharType="end"/>
      </w:r>
      <w:bookmarkEnd w:id="103"/>
    </w:p>
    <w:p>
      <w:pPr>
        <w:keepNext w:val="0"/>
        <w:keepLines w:val="0"/>
        <w:pageBreakBefore w:val="0"/>
        <w:widowControl w:val="0"/>
        <w:kinsoku/>
        <w:wordWrap/>
        <w:overflowPunct/>
        <w:topLinePunct w:val="0"/>
        <w:autoSpaceDE/>
        <w:autoSpaceDN/>
        <w:bidi w:val="0"/>
        <w:adjustRightInd/>
        <w:snapToGrid/>
        <w:spacing w:line="560" w:lineRule="exact"/>
        <w:ind w:right="0" w:rightChars="0" w:firstLine="320" w:firstLineChars="100"/>
        <w:jc w:val="left"/>
        <w:textAlignment w:val="auto"/>
        <w:outlineLvl w:val="1"/>
        <w:rPr>
          <w:rFonts w:hint="eastAsia" w:ascii="楷体" w:hAnsi="楷体" w:eastAsia="楷体" w:cs="楷体"/>
          <w:b w:val="0"/>
          <w:bCs/>
          <w:kern w:val="2"/>
          <w:sz w:val="32"/>
          <w:szCs w:val="22"/>
          <w:lang w:val="en-US" w:eastAsia="zh-CN" w:bidi="ar-SA"/>
        </w:rPr>
      </w:pPr>
      <w:bookmarkStart w:id="104" w:name="_Toc28528"/>
      <w:r>
        <w:rPr>
          <w:rFonts w:hint="eastAsia" w:ascii="楷体" w:hAnsi="楷体" w:eastAsia="楷体" w:cs="楷体"/>
          <w:b w:val="0"/>
          <w:bCs/>
          <w:kern w:val="2"/>
          <w:sz w:val="32"/>
          <w:szCs w:val="22"/>
          <w:lang w:val="en-US" w:eastAsia="zh-CN" w:bidi="ar-SA"/>
        </w:rPr>
        <w:fldChar w:fldCharType="begin"/>
      </w:r>
      <w:r>
        <w:rPr>
          <w:rFonts w:hint="eastAsia" w:ascii="楷体" w:hAnsi="楷体" w:eastAsia="楷体" w:cs="楷体"/>
          <w:b w:val="0"/>
          <w:bCs/>
          <w:kern w:val="2"/>
          <w:sz w:val="32"/>
          <w:szCs w:val="22"/>
          <w:lang w:val="en-US" w:eastAsia="zh-CN" w:bidi="ar-SA"/>
        </w:rPr>
        <w:instrText xml:space="preserve"> HYPERLINK \l _Toc31831 </w:instrText>
      </w:r>
      <w:r>
        <w:rPr>
          <w:rFonts w:hint="eastAsia" w:ascii="楷体" w:hAnsi="楷体" w:eastAsia="楷体" w:cs="楷体"/>
          <w:b w:val="0"/>
          <w:bCs/>
          <w:kern w:val="2"/>
          <w:sz w:val="32"/>
          <w:szCs w:val="22"/>
          <w:lang w:val="en-US" w:eastAsia="zh-CN" w:bidi="ar-SA"/>
        </w:rPr>
        <w:fldChar w:fldCharType="separate"/>
      </w:r>
      <w:r>
        <w:rPr>
          <w:rFonts w:hint="eastAsia" w:ascii="楷体" w:hAnsi="楷体" w:eastAsia="楷体" w:cs="楷体"/>
          <w:b w:val="0"/>
          <w:bCs/>
          <w:kern w:val="2"/>
          <w:sz w:val="32"/>
          <w:szCs w:val="22"/>
          <w:lang w:val="en-US" w:eastAsia="zh-CN" w:bidi="ar-SA"/>
        </w:rPr>
        <w:t>（一）传承劳模精神、劳动精神、工匠精神</w:t>
      </w:r>
      <w:r>
        <w:rPr>
          <w:rFonts w:hint="eastAsia" w:ascii="楷体" w:hAnsi="楷体" w:eastAsia="楷体" w:cs="楷体"/>
          <w:b w:val="0"/>
          <w:bCs/>
          <w:kern w:val="2"/>
          <w:sz w:val="32"/>
          <w:szCs w:val="22"/>
          <w:lang w:val="en-US" w:eastAsia="zh-CN" w:bidi="ar-SA"/>
        </w:rPr>
        <w:fldChar w:fldCharType="end"/>
      </w:r>
      <w:bookmarkEnd w:id="104"/>
    </w:p>
    <w:p>
      <w:pPr>
        <w:pStyle w:val="2"/>
        <w:keepNext w:val="0"/>
        <w:keepLines w:val="0"/>
        <w:pageBreakBefore w:val="0"/>
        <w:widowControl w:val="0"/>
        <w:kinsoku/>
        <w:wordWrap/>
        <w:overflowPunct/>
        <w:topLinePunct w:val="0"/>
        <w:autoSpaceDE/>
        <w:autoSpaceDN/>
        <w:bidi w:val="0"/>
        <w:adjustRightInd/>
        <w:snapToGrid/>
        <w:spacing w:before="0"/>
        <w:ind w:left="0" w:leftChars="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劳动教育是中职教育不可缺少的重要组成部分，是全面贯彻落实教育方针，实施素质教育、提高学生总体素质的基本途径。引导学生综合运用社会、生活和科学知识开展以学生为主体的自主动手、动脑的生活实践、社会实践、科学实践活动，专业技能实训，培养工匠精神，加强与现实理论与实践的联系，让学生及时了解时代，紧跟科技迅猛发展的步伐，使他们在情感态度综合知识、实践活动、学会学习等方面得到发展。</w:t>
      </w:r>
    </w:p>
    <w:p>
      <w:pPr>
        <w:pStyle w:val="2"/>
        <w:keepNext w:val="0"/>
        <w:keepLines w:val="0"/>
        <w:pageBreakBefore w:val="0"/>
        <w:widowControl w:val="0"/>
        <w:kinsoku/>
        <w:wordWrap/>
        <w:overflowPunct/>
        <w:topLinePunct w:val="0"/>
        <w:autoSpaceDE/>
        <w:autoSpaceDN/>
        <w:bidi w:val="0"/>
        <w:adjustRightInd/>
        <w:snapToGrid/>
        <w:spacing w:before="0"/>
        <w:ind w:left="0" w:leftChars="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通过亲身参与劳动与技术实践活动获得直接劳动体验促使学生主动认识并理解劳动世界，逐步树立正确的劳动价值观，养成良好的劳动习惯和热爱劳动人民的思想情感。适时、适量、适度渗透职业技术教育内容，促使普通教育与职业教育沟通，逐步培养学生的职业意识、职业兴趣，社会责任感以及创业与敬业精神。培养和发展学生对劳动与技术的正确态度和对动手、动脑技术学习的兴趣，开发创造性思维，促进学生主动运用所学科学知识、解决实际问题，促进个性发展。</w:t>
      </w:r>
    </w:p>
    <w:p>
      <w:pPr>
        <w:pStyle w:val="10"/>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2" w:firstLineChars="200"/>
        <w:jc w:val="left"/>
        <w:textAlignment w:val="auto"/>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典型案例</w:t>
      </w:r>
      <w:r>
        <w:rPr>
          <w:rFonts w:hint="default" w:ascii="仿宋" w:hAnsi="仿宋" w:eastAsia="仿宋" w:cs="仿宋"/>
          <w:b/>
          <w:bCs/>
          <w:kern w:val="2"/>
          <w:sz w:val="24"/>
          <w:szCs w:val="24"/>
          <w:lang w:val="en-US" w:eastAsia="zh-CN" w:bidi="ar-SA"/>
        </w:rPr>
        <w:t>7</w:t>
      </w:r>
    </w:p>
    <w:p>
      <w:pPr>
        <w:pStyle w:val="2"/>
        <w:keepNext w:val="0"/>
        <w:keepLines w:val="0"/>
        <w:pageBreakBefore w:val="0"/>
        <w:widowControl w:val="0"/>
        <w:kinsoku/>
        <w:wordWrap/>
        <w:overflowPunct/>
        <w:topLinePunct w:val="0"/>
        <w:autoSpaceDE/>
        <w:autoSpaceDN/>
        <w:bidi w:val="0"/>
        <w:adjustRightInd/>
        <w:snapToGrid/>
        <w:spacing w:before="0"/>
        <w:ind w:left="0" w:leftChars="0" w:firstLine="640" w:firstLineChars="200"/>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涿鹿县技工学校学生日常生活助力创建绿色校园环保</w:t>
      </w:r>
    </w:p>
    <w:p>
      <w:pPr>
        <w:pStyle w:val="2"/>
        <w:keepNext w:val="0"/>
        <w:keepLines w:val="0"/>
        <w:pageBreakBefore w:val="0"/>
        <w:widowControl w:val="0"/>
        <w:kinsoku/>
        <w:wordWrap/>
        <w:overflowPunct/>
        <w:topLinePunct w:val="0"/>
        <w:autoSpaceDE/>
        <w:autoSpaceDN/>
        <w:bidi w:val="0"/>
        <w:adjustRightInd/>
        <w:snapToGrid/>
        <w:spacing w:before="0"/>
        <w:ind w:left="0" w:leftChars="0" w:firstLine="640" w:firstLineChars="200"/>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活动背景:</w:t>
      </w:r>
    </w:p>
    <w:p>
      <w:pPr>
        <w:pStyle w:val="2"/>
        <w:keepNext w:val="0"/>
        <w:keepLines w:val="0"/>
        <w:pageBreakBefore w:val="0"/>
        <w:widowControl w:val="0"/>
        <w:kinsoku/>
        <w:wordWrap/>
        <w:overflowPunct/>
        <w:topLinePunct w:val="0"/>
        <w:autoSpaceDE/>
        <w:autoSpaceDN/>
        <w:bidi w:val="0"/>
        <w:adjustRightInd/>
        <w:snapToGrid/>
        <w:spacing w:before="0"/>
        <w:ind w:left="0" w:leftChars="0" w:firstLine="640" w:firstLineChars="200"/>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为落实建设绿色校园,和谐班级的目标, 在新时期,人们的环保潮流逐渐朝着社区的层面深入,如何使环境保护进入班集体建设管理体系,使学生在日常生活中能够自觉的保护环境和节约能源,我们有必要在校园和班级建设绿色的人与环境和谐共存的生存环境,普及环保知识, 提高学生的环保意识,建设绿色校园和班级,让真正的环保走进校园,走进班级。</w:t>
      </w:r>
    </w:p>
    <w:p>
      <w:pPr>
        <w:pStyle w:val="2"/>
        <w:keepNext w:val="0"/>
        <w:keepLines w:val="0"/>
        <w:pageBreakBefore w:val="0"/>
        <w:widowControl w:val="0"/>
        <w:kinsoku/>
        <w:wordWrap/>
        <w:overflowPunct/>
        <w:topLinePunct w:val="0"/>
        <w:autoSpaceDE/>
        <w:autoSpaceDN/>
        <w:bidi w:val="0"/>
        <w:adjustRightInd/>
        <w:snapToGrid/>
        <w:spacing w:before="0"/>
        <w:ind w:left="0" w:leftChars="0" w:firstLine="640" w:firstLineChars="200"/>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二、活动目的:</w:t>
      </w:r>
    </w:p>
    <w:p>
      <w:pPr>
        <w:pStyle w:val="2"/>
        <w:keepNext w:val="0"/>
        <w:keepLines w:val="0"/>
        <w:pageBreakBefore w:val="0"/>
        <w:widowControl w:val="0"/>
        <w:kinsoku/>
        <w:wordWrap/>
        <w:overflowPunct/>
        <w:topLinePunct w:val="0"/>
        <w:autoSpaceDE/>
        <w:autoSpaceDN/>
        <w:bidi w:val="0"/>
        <w:adjustRightInd/>
        <w:snapToGrid/>
        <w:spacing w:before="0"/>
        <w:ind w:left="0" w:leftChars="0" w:firstLine="640" w:firstLineChars="200"/>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1、通过深入班级,大力普及环保知识,提高学生的环保意识,培养社学生关注社会发展的责任感,热爱社会公益事业的品质。</w:t>
      </w:r>
    </w:p>
    <w:p>
      <w:pPr>
        <w:pStyle w:val="2"/>
        <w:keepNext w:val="0"/>
        <w:keepLines w:val="0"/>
        <w:pageBreakBefore w:val="0"/>
        <w:widowControl w:val="0"/>
        <w:kinsoku/>
        <w:wordWrap/>
        <w:overflowPunct/>
        <w:topLinePunct w:val="0"/>
        <w:autoSpaceDE/>
        <w:autoSpaceDN/>
        <w:bidi w:val="0"/>
        <w:adjustRightInd/>
        <w:snapToGrid/>
        <w:spacing w:before="0"/>
        <w:ind w:left="0" w:leftChars="0" w:firstLine="640" w:firstLineChars="200"/>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2、学习掌握世界性及中国的环保日名称、口号、由来、时间等知识,了解保护环境随手可做的身边事。</w:t>
      </w:r>
    </w:p>
    <w:p>
      <w:pPr>
        <w:pStyle w:val="2"/>
        <w:keepNext w:val="0"/>
        <w:keepLines w:val="0"/>
        <w:pageBreakBefore w:val="0"/>
        <w:widowControl w:val="0"/>
        <w:kinsoku/>
        <w:wordWrap/>
        <w:overflowPunct/>
        <w:topLinePunct w:val="0"/>
        <w:autoSpaceDE/>
        <w:autoSpaceDN/>
        <w:bidi w:val="0"/>
        <w:adjustRightInd/>
        <w:snapToGrid/>
        <w:spacing w:before="0"/>
        <w:ind w:left="0" w:leftChars="0" w:firstLine="640" w:firstLineChars="200"/>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3、在宣传教育别人的同时,不断提高自己的环保意识水平和知识水平,让我们彼此教育,负起环保责任,全面提高环境与发展意识,树立正确的环境价值观和环境道德风尚,从身边点滴做起。</w:t>
      </w:r>
    </w:p>
    <w:p>
      <w:pPr>
        <w:pStyle w:val="2"/>
        <w:keepNext w:val="0"/>
        <w:keepLines w:val="0"/>
        <w:pageBreakBefore w:val="0"/>
        <w:widowControl w:val="0"/>
        <w:kinsoku/>
        <w:wordWrap/>
        <w:overflowPunct/>
        <w:topLinePunct w:val="0"/>
        <w:autoSpaceDE/>
        <w:autoSpaceDN/>
        <w:bidi w:val="0"/>
        <w:adjustRightInd/>
        <w:snapToGrid/>
        <w:spacing w:before="0"/>
        <w:ind w:left="0" w:leftChars="0" w:firstLine="640" w:firstLineChars="200"/>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三、活动参与人数:全体同学</w:t>
      </w:r>
    </w:p>
    <w:p>
      <w:pPr>
        <w:pStyle w:val="2"/>
        <w:keepNext w:val="0"/>
        <w:keepLines w:val="0"/>
        <w:pageBreakBefore w:val="0"/>
        <w:widowControl w:val="0"/>
        <w:kinsoku/>
        <w:wordWrap/>
        <w:overflowPunct/>
        <w:topLinePunct w:val="0"/>
        <w:autoSpaceDE/>
        <w:autoSpaceDN/>
        <w:bidi w:val="0"/>
        <w:adjustRightInd/>
        <w:snapToGrid/>
        <w:spacing w:before="0"/>
        <w:ind w:left="0" w:leftChars="0" w:firstLine="640" w:firstLineChars="200"/>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四、活动地点:室外</w:t>
      </w:r>
    </w:p>
    <w:p>
      <w:pPr>
        <w:pStyle w:val="2"/>
        <w:keepNext w:val="0"/>
        <w:keepLines w:val="0"/>
        <w:pageBreakBefore w:val="0"/>
        <w:widowControl w:val="0"/>
        <w:kinsoku/>
        <w:wordWrap/>
        <w:overflowPunct/>
        <w:topLinePunct w:val="0"/>
        <w:autoSpaceDE/>
        <w:autoSpaceDN/>
        <w:bidi w:val="0"/>
        <w:adjustRightInd/>
        <w:snapToGrid/>
        <w:spacing w:before="0"/>
        <w:ind w:left="0" w:leftChars="0" w:firstLine="640" w:firstLineChars="200"/>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五、活动内容:</w:t>
      </w:r>
    </w:p>
    <w:p>
      <w:pPr>
        <w:pStyle w:val="2"/>
        <w:keepNext w:val="0"/>
        <w:keepLines w:val="0"/>
        <w:pageBreakBefore w:val="0"/>
        <w:widowControl w:val="0"/>
        <w:kinsoku/>
        <w:wordWrap/>
        <w:overflowPunct/>
        <w:topLinePunct w:val="0"/>
        <w:autoSpaceDE/>
        <w:autoSpaceDN/>
        <w:bidi w:val="0"/>
        <w:adjustRightInd/>
        <w:snapToGrid/>
        <w:spacing w:before="0"/>
        <w:ind w:left="0" w:leftChars="0" w:firstLine="640" w:firstLineChars="200"/>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1、在校园进行植树活动。</w:t>
      </w:r>
    </w:p>
    <w:p>
      <w:pPr>
        <w:pStyle w:val="2"/>
        <w:keepNext w:val="0"/>
        <w:keepLines w:val="0"/>
        <w:pageBreakBefore w:val="0"/>
        <w:widowControl w:val="0"/>
        <w:kinsoku/>
        <w:wordWrap/>
        <w:overflowPunct/>
        <w:topLinePunct w:val="0"/>
        <w:autoSpaceDE/>
        <w:autoSpaceDN/>
        <w:bidi w:val="0"/>
        <w:adjustRightInd/>
        <w:snapToGrid/>
        <w:spacing w:before="0"/>
        <w:ind w:left="0" w:leftChars="0" w:firstLine="640" w:firstLineChars="200"/>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2、在学生植树过程中进行使用工具等来进行植树节主题宣传,促进家庭科学和绿色生活</w:t>
      </w:r>
      <w:r>
        <w:rPr>
          <w:rFonts w:hint="eastAsia" w:ascii="仿宋" w:hAnsi="仿宋" w:eastAsia="仿宋" w:cs="仿宋"/>
          <w:kern w:val="2"/>
          <w:sz w:val="32"/>
          <w:szCs w:val="32"/>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before="0"/>
        <w:ind w:left="0" w:leftChars="0" w:firstLine="640" w:firstLineChars="200"/>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3、在班级和学生家庭倡导环保型的生活和学习方式</w:t>
      </w:r>
      <w:r>
        <w:rPr>
          <w:rFonts w:hint="eastAsia" w:ascii="仿宋" w:hAnsi="仿宋" w:eastAsia="仿宋" w:cs="仿宋"/>
          <w:kern w:val="2"/>
          <w:sz w:val="32"/>
          <w:szCs w:val="32"/>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before="0"/>
        <w:ind w:left="0" w:leftChars="0" w:firstLine="640" w:firstLineChars="200"/>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4、活动思路:(1)活动内容的选择符合班级同学现有的知识结构和认知水平,传授的小窍门小方法要具有实性和可操作性。(2)充分发挥学生的主体作用,有效调动学生的积极性和创造性,家庭宣传效果将更加显著。</w:t>
      </w:r>
    </w:p>
    <w:p>
      <w:pPr>
        <w:pStyle w:val="2"/>
        <w:keepNext w:val="0"/>
        <w:keepLines w:val="0"/>
        <w:pageBreakBefore w:val="0"/>
        <w:widowControl w:val="0"/>
        <w:kinsoku/>
        <w:wordWrap/>
        <w:overflowPunct/>
        <w:topLinePunct w:val="0"/>
        <w:autoSpaceDE/>
        <w:autoSpaceDN/>
        <w:bidi w:val="0"/>
        <w:adjustRightInd/>
        <w:snapToGrid/>
        <w:spacing w:before="0"/>
        <w:ind w:left="0" w:leftChars="0" w:firstLine="640" w:firstLineChars="200"/>
        <w:textAlignment w:val="auto"/>
        <w:rPr>
          <w:rFonts w:hint="default" w:ascii="仿宋" w:hAnsi="仿宋" w:eastAsia="仿宋" w:cs="仿宋"/>
          <w:kern w:val="2"/>
          <w:sz w:val="32"/>
          <w:szCs w:val="32"/>
          <w:lang w:val="en-US" w:eastAsia="zh-CN" w:bidi="ar-SA"/>
        </w:rPr>
      </w:pPr>
      <w:r>
        <w:rPr>
          <w:rFonts w:hint="default" w:ascii="仿宋" w:hAnsi="仿宋" w:eastAsia="仿宋" w:cs="仿宋"/>
          <w:kern w:val="2"/>
          <w:sz w:val="32"/>
          <w:szCs w:val="32"/>
          <w:lang w:val="en-US" w:eastAsia="zh-CN" w:bidi="ar-SA"/>
        </w:rPr>
        <w:t>5、活动形式:(1)宣读倡议书:由班级一名学生宣读;(2)环保板报宣传:制作班级环保宣传教育主题板报;(3)发放环保知识、节能小窍门等资料。</w:t>
      </w:r>
    </w:p>
    <w:p>
      <w:pPr>
        <w:pStyle w:val="2"/>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2529840" cy="1526540"/>
            <wp:effectExtent l="0" t="0" r="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5"/>
                    <a:srcRect l="2315" b="15619"/>
                    <a:stretch>
                      <a:fillRect/>
                    </a:stretch>
                  </pic:blipFill>
                  <pic:spPr>
                    <a:xfrm>
                      <a:off x="0" y="0"/>
                      <a:ext cx="2529840" cy="1526540"/>
                    </a:xfrm>
                    <a:prstGeom prst="rect">
                      <a:avLst/>
                    </a:prstGeom>
                    <a:noFill/>
                    <a:ln>
                      <a:noFill/>
                    </a:ln>
                  </pic:spPr>
                </pic:pic>
              </a:graphicData>
            </a:graphic>
          </wp:inline>
        </w:drawing>
      </w:r>
      <w:r>
        <w:rPr>
          <w:rFonts w:hint="eastAsia" w:ascii="仿宋_GB2312" w:hAnsi="仿宋_GB2312" w:eastAsia="仿宋_GB2312" w:cs="仿宋_GB2312"/>
          <w:kern w:val="2"/>
          <w:sz w:val="32"/>
          <w:szCs w:val="32"/>
          <w:lang w:val="en-US" w:eastAsia="zh-CN" w:bidi="ar-SA"/>
        </w:rPr>
        <w:drawing>
          <wp:inline distT="0" distB="0" distL="114300" distR="114300">
            <wp:extent cx="2397125" cy="1513840"/>
            <wp:effectExtent l="0" t="0" r="1079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6"/>
                    <a:srcRect r="7586" b="8602"/>
                    <a:stretch>
                      <a:fillRect/>
                    </a:stretch>
                  </pic:blipFill>
                  <pic:spPr>
                    <a:xfrm>
                      <a:off x="0" y="0"/>
                      <a:ext cx="2397125" cy="1513840"/>
                    </a:xfrm>
                    <a:prstGeom prst="rect">
                      <a:avLst/>
                    </a:prstGeom>
                    <a:noFill/>
                    <a:ln>
                      <a:noFill/>
                    </a:ln>
                  </pic:spPr>
                </pic:pic>
              </a:graphicData>
            </a:graphic>
          </wp:inline>
        </w:drawing>
      </w:r>
    </w:p>
    <w:p>
      <w:pPr>
        <w:pStyle w:val="10"/>
        <w:jc w:val="center"/>
        <w:rPr>
          <w:rFonts w:hint="eastAsia"/>
          <w:lang w:val="en-US" w:eastAsia="zh-CN"/>
        </w:rPr>
      </w:pPr>
      <w:r>
        <w:t xml:space="preserve">图 </w:t>
      </w:r>
      <w:r>
        <w:fldChar w:fldCharType="begin"/>
      </w:r>
      <w:r>
        <w:instrText xml:space="preserve"> SEQ 图 \* ARABIC </w:instrText>
      </w:r>
      <w:r>
        <w:fldChar w:fldCharType="separate"/>
      </w:r>
      <w:r>
        <w:t>14</w:t>
      </w:r>
      <w:r>
        <w:fldChar w:fldCharType="end"/>
      </w:r>
      <w:bookmarkStart w:id="105" w:name="_Toc5734"/>
      <w:r>
        <w:t xml:space="preserve">  县领导和该校学生植树</w:t>
      </w:r>
      <w:bookmarkEnd w:id="105"/>
    </w:p>
    <w:p>
      <w:pPr>
        <w:keepNext w:val="0"/>
        <w:keepLines w:val="0"/>
        <w:pageBreakBefore w:val="0"/>
        <w:widowControl w:val="0"/>
        <w:kinsoku/>
        <w:wordWrap/>
        <w:overflowPunct/>
        <w:topLinePunct w:val="0"/>
        <w:autoSpaceDE/>
        <w:autoSpaceDN/>
        <w:bidi w:val="0"/>
        <w:adjustRightInd/>
        <w:snapToGrid/>
        <w:spacing w:line="560" w:lineRule="exact"/>
        <w:ind w:right="0" w:rightChars="0" w:firstLine="320" w:firstLineChars="100"/>
        <w:jc w:val="left"/>
        <w:textAlignment w:val="auto"/>
        <w:outlineLvl w:val="1"/>
        <w:rPr>
          <w:rFonts w:hint="eastAsia" w:ascii="楷体" w:hAnsi="楷体" w:eastAsia="楷体" w:cs="楷体"/>
          <w:b w:val="0"/>
          <w:bCs/>
          <w:kern w:val="2"/>
          <w:sz w:val="32"/>
          <w:szCs w:val="22"/>
          <w:lang w:val="en-US" w:eastAsia="zh-CN" w:bidi="ar-SA"/>
        </w:rPr>
      </w:pPr>
      <w:bookmarkStart w:id="106" w:name="_Toc27462"/>
      <w:r>
        <w:rPr>
          <w:rFonts w:hint="eastAsia" w:ascii="楷体" w:hAnsi="楷体" w:eastAsia="楷体" w:cs="楷体"/>
          <w:b w:val="0"/>
          <w:bCs/>
          <w:kern w:val="2"/>
          <w:sz w:val="32"/>
          <w:szCs w:val="22"/>
          <w:lang w:val="en-US" w:eastAsia="zh-CN" w:bidi="ar-SA"/>
        </w:rPr>
        <w:fldChar w:fldCharType="begin"/>
      </w:r>
      <w:r>
        <w:rPr>
          <w:rFonts w:hint="eastAsia" w:ascii="楷体" w:hAnsi="楷体" w:eastAsia="楷体" w:cs="楷体"/>
          <w:b w:val="0"/>
          <w:bCs/>
          <w:kern w:val="2"/>
          <w:sz w:val="32"/>
          <w:szCs w:val="22"/>
          <w:lang w:val="en-US" w:eastAsia="zh-CN" w:bidi="ar-SA"/>
        </w:rPr>
        <w:instrText xml:space="preserve"> HYPERLINK \l _Toc10817 </w:instrText>
      </w:r>
      <w:r>
        <w:rPr>
          <w:rFonts w:hint="eastAsia" w:ascii="楷体" w:hAnsi="楷体" w:eastAsia="楷体" w:cs="楷体"/>
          <w:b w:val="0"/>
          <w:bCs/>
          <w:kern w:val="2"/>
          <w:sz w:val="32"/>
          <w:szCs w:val="22"/>
          <w:lang w:val="en-US" w:eastAsia="zh-CN" w:bidi="ar-SA"/>
        </w:rPr>
        <w:fldChar w:fldCharType="separate"/>
      </w:r>
      <w:r>
        <w:rPr>
          <w:rFonts w:hint="eastAsia" w:ascii="楷体" w:hAnsi="楷体" w:eastAsia="楷体" w:cs="楷体"/>
          <w:b w:val="0"/>
          <w:bCs/>
          <w:kern w:val="2"/>
          <w:sz w:val="32"/>
          <w:szCs w:val="22"/>
          <w:lang w:val="en-US" w:eastAsia="zh-CN" w:bidi="ar-SA"/>
        </w:rPr>
        <w:t>（二）传承红色基因</w:t>
      </w:r>
      <w:r>
        <w:rPr>
          <w:rFonts w:hint="eastAsia" w:ascii="楷体" w:hAnsi="楷体" w:eastAsia="楷体" w:cs="楷体"/>
          <w:b w:val="0"/>
          <w:bCs/>
          <w:kern w:val="2"/>
          <w:sz w:val="32"/>
          <w:szCs w:val="22"/>
          <w:lang w:val="en-US" w:eastAsia="zh-CN" w:bidi="ar-SA"/>
        </w:rPr>
        <w:fldChar w:fldCharType="end"/>
      </w:r>
      <w:bookmarkEnd w:id="106"/>
    </w:p>
    <w:p>
      <w:pPr>
        <w:pStyle w:val="10"/>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2" w:firstLineChars="200"/>
        <w:jc w:val="left"/>
        <w:textAlignment w:val="auto"/>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典型案例</w:t>
      </w:r>
      <w:r>
        <w:rPr>
          <w:rFonts w:hint="default" w:ascii="仿宋" w:hAnsi="仿宋" w:eastAsia="仿宋" w:cs="仿宋"/>
          <w:b/>
          <w:bCs/>
          <w:kern w:val="2"/>
          <w:sz w:val="24"/>
          <w:szCs w:val="24"/>
          <w:lang w:val="en-US" w:eastAsia="zh-CN" w:bidi="ar-SA"/>
        </w:rPr>
        <w:t>8</w:t>
      </w:r>
    </w:p>
    <w:p>
      <w:pPr>
        <w:keepNext w:val="0"/>
        <w:keepLines w:val="0"/>
        <w:pageBreakBefore w:val="0"/>
        <w:widowControl/>
        <w:suppressLineNumbers w:val="0"/>
        <w:kinsoku/>
        <w:wordWrap/>
        <w:overflowPunct/>
        <w:topLinePunct w:val="0"/>
        <w:autoSpaceDE/>
        <w:autoSpaceDN/>
        <w:bidi w:val="0"/>
        <w:adjustRightInd/>
        <w:snapToGrid/>
        <w:ind w:firstLine="2880" w:firstLineChars="9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喜迎新中国成立75周年</w:t>
      </w:r>
    </w:p>
    <w:p>
      <w:pPr>
        <w:keepNext w:val="0"/>
        <w:keepLines w:val="0"/>
        <w:pageBreakBefore w:val="0"/>
        <w:widowControl/>
        <w:suppressLineNumbers w:val="0"/>
        <w:kinsoku/>
        <w:wordWrap/>
        <w:overflowPunct/>
        <w:topLinePunct w:val="0"/>
        <w:autoSpaceDE/>
        <w:autoSpaceDN/>
        <w:bidi w:val="0"/>
        <w:adjustRightInd/>
        <w:snapToGrid/>
        <w:ind w:firstLine="1920" w:firstLineChars="6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涿鹿县职教中心掀起师生读党报热潮</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涿鹿县职教中心喜迎新中国成立75周年在全校范围内掀起读党报热潮。活动旨在引导广大青少年学生深入了解党和国家的发展历程，增强爱国主义情怀，树立正确的世界观、人生观和价值观，得到了全校师生积极而热烈的响应。广大师生成为了《中国青年报》《人民日报》《中国教育报》的热心读者。三大报刊成为了师生汲取知识营养和力量源泉的重要阵地。团委干部张丽老师说：“党报是我们党和国家的重要舆论阵地，其中蕴含着丰富的思想内涵和价值观念，能够为孩子们的成长提供正确的指引。在国庆75周年这个重要的时间节点，我们希望通过组织学生读党报活动，让孩子们更好地了解国家的发展和进步，培养他们的爱国之情和社会责任感。</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中国青年报》以其贴近青年、关注青年成长的特点，为学生们打开了一扇了解当代青年奋斗历程和使命担当的窗户。《人民日报》作为党中央机关报，以权威、准确的新闻报道和深刻的思想内涵，让学生们全面了解国家的大政方针和发展战略。《中国教育报》则聚焦教育领域，为学生们提供了丰富的教育资讯和先进的教育理念。</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drawing>
          <wp:anchor distT="0" distB="0" distL="114300" distR="114300" simplePos="0" relativeHeight="251681792" behindDoc="0" locked="0" layoutInCell="1" allowOverlap="1">
            <wp:simplePos x="0" y="0"/>
            <wp:positionH relativeFrom="column">
              <wp:posOffset>2762250</wp:posOffset>
            </wp:positionH>
            <wp:positionV relativeFrom="paragraph">
              <wp:posOffset>945515</wp:posOffset>
            </wp:positionV>
            <wp:extent cx="2367280" cy="1954530"/>
            <wp:effectExtent l="0" t="0" r="10160" b="11430"/>
            <wp:wrapTopAndBottom/>
            <wp:docPr id="2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IMG_256"/>
                    <pic:cNvPicPr>
                      <a:picLocks noChangeAspect="1"/>
                    </pic:cNvPicPr>
                  </pic:nvPicPr>
                  <pic:blipFill>
                    <a:blip r:embed="rId47"/>
                    <a:srcRect l="12472" t="-1907"/>
                    <a:stretch>
                      <a:fillRect/>
                    </a:stretch>
                  </pic:blipFill>
                  <pic:spPr>
                    <a:xfrm>
                      <a:off x="0" y="0"/>
                      <a:ext cx="2367280" cy="1954530"/>
                    </a:xfrm>
                    <a:prstGeom prst="rect">
                      <a:avLst/>
                    </a:prstGeom>
                    <a:noFill/>
                    <a:ln w="9525">
                      <a:noFill/>
                    </a:ln>
                  </pic:spPr>
                </pic:pic>
              </a:graphicData>
            </a:graphic>
          </wp:anchor>
        </w:drawing>
      </w:r>
      <w:r>
        <w:rPr>
          <w:rFonts w:hint="eastAsia" w:ascii="仿宋" w:hAnsi="仿宋" w:eastAsia="仿宋" w:cs="仿宋"/>
          <w:kern w:val="2"/>
          <w:sz w:val="32"/>
          <w:szCs w:val="32"/>
          <w:lang w:val="en-US" w:eastAsia="zh-CN" w:bidi="ar-SA"/>
        </w:rPr>
        <w:t>在国庆75 周年这个特殊的时刻，涿鹿县职教中心组织的读党报活动犹如一盏明灯，照亮了师生前行的道路，不仅提高了</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anchor distT="0" distB="0" distL="114300" distR="114300" simplePos="0" relativeHeight="251680768" behindDoc="0" locked="0" layoutInCell="1" allowOverlap="1">
            <wp:simplePos x="0" y="0"/>
            <wp:positionH relativeFrom="column">
              <wp:posOffset>87630</wp:posOffset>
            </wp:positionH>
            <wp:positionV relativeFrom="paragraph">
              <wp:posOffset>191135</wp:posOffset>
            </wp:positionV>
            <wp:extent cx="2538095" cy="1910080"/>
            <wp:effectExtent l="0" t="0" r="6985" b="10160"/>
            <wp:wrapTopAndBottom/>
            <wp:docPr id="24"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IMG_256"/>
                    <pic:cNvPicPr>
                      <a:picLocks noChangeAspect="1"/>
                    </pic:cNvPicPr>
                  </pic:nvPicPr>
                  <pic:blipFill>
                    <a:blip r:embed="rId48"/>
                    <a:stretch>
                      <a:fillRect/>
                    </a:stretch>
                  </pic:blipFill>
                  <pic:spPr>
                    <a:xfrm>
                      <a:off x="0" y="0"/>
                      <a:ext cx="2538095" cy="1910080"/>
                    </a:xfrm>
                    <a:prstGeom prst="rect">
                      <a:avLst/>
                    </a:prstGeom>
                    <a:noFill/>
                    <a:ln w="9525">
                      <a:noFill/>
                    </a:ln>
                  </pic:spPr>
                </pic:pic>
              </a:graphicData>
            </a:graphic>
          </wp:anchor>
        </w:drawing>
      </w:r>
    </w:p>
    <w:p>
      <w:pPr>
        <w:pStyle w:val="10"/>
        <w:jc w:val="center"/>
        <w:rPr>
          <w:rFonts w:hint="eastAsia"/>
          <w:lang w:val="en-US" w:eastAsia="zh-CN"/>
        </w:rPr>
      </w:pPr>
      <w:r>
        <w:t xml:space="preserve">图 </w:t>
      </w:r>
      <w:r>
        <w:fldChar w:fldCharType="begin"/>
      </w:r>
      <w:r>
        <w:instrText xml:space="preserve"> SEQ 图 \* ARABIC </w:instrText>
      </w:r>
      <w:r>
        <w:fldChar w:fldCharType="separate"/>
      </w:r>
      <w:r>
        <w:t>15</w:t>
      </w:r>
      <w:r>
        <w:fldChar w:fldCharType="end"/>
      </w:r>
      <w:bookmarkStart w:id="107" w:name="_Toc2242"/>
      <w:r>
        <w:t xml:space="preserve">  学生在阅览室研读报刊</w:t>
      </w:r>
      <w:bookmarkEnd w:id="107"/>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他们的政治素养和阅读能力，也更加坚定了他们热爱党、热爱祖国、热爱人民的信念。相信在党和国家的关怀下，在全社会的共同努力下，该校师生一定能够乘胜前进，成为有担当、讲奉献的职教人。</w:t>
      </w:r>
    </w:p>
    <w:p>
      <w:pPr>
        <w:keepNext w:val="0"/>
        <w:keepLines w:val="0"/>
        <w:pageBreakBefore w:val="0"/>
        <w:widowControl/>
        <w:suppressLineNumbers w:val="0"/>
        <w:kinsoku/>
        <w:wordWrap/>
        <w:overflowPunct/>
        <w:topLinePunct w:val="0"/>
        <w:autoSpaceDE/>
        <w:autoSpaceDN/>
        <w:bidi w:val="0"/>
        <w:adjustRightInd/>
        <w:snapToGrid/>
        <w:ind w:firstLine="482" w:firstLineChars="200"/>
        <w:jc w:val="left"/>
        <w:textAlignment w:val="auto"/>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典型案例</w:t>
      </w:r>
      <w:r>
        <w:rPr>
          <w:rFonts w:hint="default" w:ascii="仿宋" w:hAnsi="仿宋" w:eastAsia="仿宋" w:cs="仿宋"/>
          <w:b/>
          <w:bCs/>
          <w:kern w:val="2"/>
          <w:sz w:val="24"/>
          <w:szCs w:val="24"/>
          <w:lang w:val="en-US" w:eastAsia="zh-CN" w:bidi="ar-SA"/>
        </w:rPr>
        <w:t>9</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center"/>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书画传情·喜迎“七一”</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center"/>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涿鹿县职教中心校团委举办建党节书画比赛活动</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为庆祝中国共产党成立103周年，弘扬伟大建党精神，激发广大师生的爱党爱国热情，2024年6月28日，涿鹿县职教中心校团委精心组织了一场精彩纷呈的迎七一建党节书画比赛。</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本次比赛得到了全校师生的积极响应和热情参与，共收到近百幅参赛作品。这些作品涵盖了书法、绘画、剪纸、摄影等多种艺术形式，主题鲜明、风格多样。书法作品或苍劲有力，或飘逸灵动，以笔抒怀，书写着对党的深情祝福；绘画作品有的色彩明艳，有的意境深远，以画寄情，展现了中国共产党的光辉历程和伟大成就。经过评委老师们的认真评审，最终评选出了一、二、三等奖及优秀奖若干名。</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涿鹿县职教中心团委书记王星亮表示，此次书画比赛不仅为师生们提供了一个展示才华的平台，更是一次生动的爱国主义教育和党史学习教育活动。通过书画创作，让师生们在艺术的熏陶中深刻领悟党的初心和使命，传承红色基因，坚定理想信念。此次活动的成功举办，充分展现了涿鹿县职教中心师生积极向上的精神风貌和深厚的文化底蕴，也为七一建党节营造了浓厚的喜庆氛围。相信在党的光辉照耀下，涿鹿县职教中心定会培养出更多德智体美劳全面发展的社会主义建设者和接班人。</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2016125" cy="2246630"/>
            <wp:effectExtent l="0" t="0" r="10795" b="8890"/>
            <wp:docPr id="2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IMG_256"/>
                    <pic:cNvPicPr>
                      <a:picLocks noChangeAspect="1"/>
                    </pic:cNvPicPr>
                  </pic:nvPicPr>
                  <pic:blipFill>
                    <a:blip r:embed="rId49"/>
                    <a:stretch>
                      <a:fillRect/>
                    </a:stretch>
                  </pic:blipFill>
                  <pic:spPr>
                    <a:xfrm>
                      <a:off x="0" y="0"/>
                      <a:ext cx="2016125" cy="2246630"/>
                    </a:xfrm>
                    <a:prstGeom prst="rect">
                      <a:avLst/>
                    </a:prstGeom>
                    <a:noFill/>
                    <a:ln w="9525">
                      <a:noFill/>
                    </a:ln>
                  </pic:spPr>
                </pic:pic>
              </a:graphicData>
            </a:graphic>
          </wp:inline>
        </w:drawing>
      </w:r>
      <w:r>
        <w:rPr>
          <w:rFonts w:hint="eastAsia" w:ascii="仿宋_GB2312" w:hAnsi="仿宋_GB2312" w:eastAsia="仿宋_GB2312" w:cs="仿宋_GB2312"/>
          <w:kern w:val="2"/>
          <w:sz w:val="32"/>
          <w:szCs w:val="32"/>
          <w:lang w:val="en-US" w:eastAsia="zh-CN" w:bidi="ar-SA"/>
        </w:rPr>
        <w:drawing>
          <wp:inline distT="0" distB="0" distL="114300" distR="114300">
            <wp:extent cx="2642235" cy="2437130"/>
            <wp:effectExtent l="0" t="0" r="9525" b="1270"/>
            <wp:docPr id="27"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IMG_256"/>
                    <pic:cNvPicPr>
                      <a:picLocks noChangeAspect="1"/>
                    </pic:cNvPicPr>
                  </pic:nvPicPr>
                  <pic:blipFill>
                    <a:blip r:embed="rId50"/>
                    <a:stretch>
                      <a:fillRect/>
                    </a:stretch>
                  </pic:blipFill>
                  <pic:spPr>
                    <a:xfrm>
                      <a:off x="0" y="0"/>
                      <a:ext cx="2642235" cy="2437130"/>
                    </a:xfrm>
                    <a:prstGeom prst="rect">
                      <a:avLst/>
                    </a:prstGeom>
                    <a:noFill/>
                    <a:ln w="9525">
                      <a:noFill/>
                    </a:ln>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snapToGrid/>
        <w:ind w:firstLine="400" w:firstLineChars="200"/>
        <w:jc w:val="center"/>
        <w:textAlignment w:val="auto"/>
        <w:rPr>
          <w:rFonts w:hint="eastAsia" w:ascii="仿宋_GB2312" w:hAnsi="仿宋_GB2312" w:eastAsia="仿宋_GB2312" w:cs="仿宋_GB2312"/>
          <w:kern w:val="2"/>
          <w:sz w:val="32"/>
          <w:szCs w:val="32"/>
          <w:lang w:val="en-US" w:eastAsia="zh-CN" w:bidi="ar-SA"/>
        </w:rPr>
      </w:pPr>
      <w:r>
        <w:t xml:space="preserve">图 </w:t>
      </w:r>
      <w:r>
        <w:fldChar w:fldCharType="begin"/>
      </w:r>
      <w:r>
        <w:instrText xml:space="preserve"> SEQ 图 \* ARABIC </w:instrText>
      </w:r>
      <w:r>
        <w:fldChar w:fldCharType="separate"/>
      </w:r>
      <w:r>
        <w:t>16</w:t>
      </w:r>
      <w:r>
        <w:fldChar w:fldCharType="end"/>
      </w:r>
      <w:bookmarkStart w:id="108" w:name="_Toc10594"/>
      <w:r>
        <w:t xml:space="preserve">  迎七一学生作品展</w:t>
      </w:r>
      <w:bookmarkEnd w:id="108"/>
    </w:p>
    <w:p>
      <w:pPr>
        <w:keepNext w:val="0"/>
        <w:keepLines w:val="0"/>
        <w:pageBreakBefore w:val="0"/>
        <w:widowControl/>
        <w:suppressLineNumbers w:val="0"/>
        <w:kinsoku/>
        <w:wordWrap/>
        <w:overflowPunct/>
        <w:topLinePunct w:val="0"/>
        <w:autoSpaceDE/>
        <w:autoSpaceDN/>
        <w:bidi w:val="0"/>
        <w:adjustRightInd/>
        <w:snapToGrid/>
        <w:ind w:firstLine="482" w:firstLineChars="200"/>
        <w:jc w:val="left"/>
        <w:textAlignment w:val="auto"/>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典型案例</w:t>
      </w:r>
      <w:r>
        <w:rPr>
          <w:rFonts w:hint="default" w:ascii="仿宋" w:hAnsi="仿宋" w:eastAsia="仿宋" w:cs="仿宋"/>
          <w:b/>
          <w:bCs/>
          <w:kern w:val="2"/>
          <w:sz w:val="24"/>
          <w:szCs w:val="24"/>
          <w:lang w:val="en-US" w:eastAsia="zh-CN" w:bidi="ar-SA"/>
        </w:rPr>
        <w:t>10</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center"/>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涿鹿县职教中心抓住开展“学雷锋活动月”系列活动契机锤炼学生品格</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传承红色基因，弘扬雷锋精神。涿鹿县职教中心为进一步筑牢德育工作阵地基石，广育厚植英雄先烈精神文脉，今年第61个“学雷锋纪念日”（3月5日）以来，充分利用学校多块电子屏和大屏幕、微信公众号、抖音、快手等平台为载体进行“雷锋精神”文创宣传营造学雷锋浓厚氛围，并以主题班会和志愿服务系列活动为主旋律号召全体师生认识雷锋、学习雷锋，并从身边事做起，从身边人帮起，养成优秀品格，掀起“争做新时代雷锋”热潮。</w:t>
      </w:r>
    </w:p>
    <w:p>
      <w:pPr>
        <w:pStyle w:val="2"/>
        <w:keepNext w:val="0"/>
        <w:keepLines w:val="0"/>
        <w:pageBreakBefore w:val="0"/>
        <w:widowControl w:val="0"/>
        <w:kinsoku/>
        <w:wordWrap/>
        <w:overflowPunct/>
        <w:topLinePunct w:val="0"/>
        <w:autoSpaceDE/>
        <w:autoSpaceDN/>
        <w:bidi w:val="0"/>
        <w:adjustRightInd/>
        <w:snapToGrid/>
        <w:spacing w:before="0"/>
        <w:ind w:left="0" w:leftChars="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全校师生以饱满的热情投身活动中，以自己的方式讲好雷锋故事，开展志愿服务活动：30多个班级齐上“学习雷锋精神，争当文明先锋”主题班会课，讲述雷锋动人事迹，宣读倡议书，倡导全体师生学习雷锋的奉献精神、助人为乐精神和集体主义精神，做到时时学雷锋、天天见效果，争做新时代的雷锋；30余名志愿者参加并为涿鹿县2024年“学雷锋·文明实践我行动”主题活动启动仪式提供志愿服务，搬运各队队旗，发放志愿者服装，维持会场纪律，顺利完成多项会务保障工作；海事专业35名志愿者前往县域人民公园开展志愿服务活动，宣传爱护环境、人人有责的理念，清理阶梯缝隙和树丛中的垃圾，用抹布擦拭广场的指示牌及宣传栏，受到游园群众一致赞扬；校团委组织志愿者清扫了校园门口及周边公共区域卫生，同学们拿起工具，铲、拔、扫、捡、拉，让路面、花圃、绿地和树坑等焕然一新，恢复整洁、干净、无异物状态，美化了校容市貌，增强了同学们的凝聚力和成就感。</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精神因传承而不朽，时代因信仰而璀璨。该系列活动的开展只是一个起点而非终点，学习雷锋精神没有止境。涿鹿县职教中心将继续秉持立德树人的教育初心，将学雷锋活动融入教育教学与日常生活中，不断健全和完善青少年志愿服务工作体系，以实际行动弘扬雷锋精神，培养学生成长为合格的社会主义建设者和接班人。</w:t>
      </w:r>
    </w:p>
    <w:p>
      <w:pPr>
        <w:keepNext w:val="0"/>
        <w:keepLines w:val="0"/>
        <w:pageBreakBefore w:val="0"/>
        <w:widowControl/>
        <w:suppressLineNumbers w:val="0"/>
        <w:kinsoku/>
        <w:wordWrap/>
        <w:overflowPunct/>
        <w:topLinePunct w:val="0"/>
        <w:autoSpaceDE/>
        <w:autoSpaceDN/>
        <w:bidi w:val="0"/>
        <w:adjustRightInd/>
        <w:snapToGrid/>
        <w:ind w:firstLine="482" w:firstLineChars="200"/>
        <w:jc w:val="left"/>
        <w:textAlignment w:val="auto"/>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典型案例</w:t>
      </w:r>
      <w:r>
        <w:rPr>
          <w:rFonts w:hint="default" w:ascii="仿宋" w:hAnsi="仿宋" w:eastAsia="仿宋" w:cs="仿宋"/>
          <w:b/>
          <w:bCs/>
          <w:kern w:val="2"/>
          <w:sz w:val="24"/>
          <w:szCs w:val="24"/>
          <w:lang w:val="en-US" w:eastAsia="zh-CN" w:bidi="ar-SA"/>
        </w:rPr>
        <w:t>11</w:t>
      </w:r>
    </w:p>
    <w:p>
      <w:pPr>
        <w:pStyle w:val="2"/>
        <w:jc w:val="center"/>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涿鹿县职教中心国防教育活动总结</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为进一步增强涿鹿县技工学校师生的国防观念和民防意识，激发师生热爱国 防、参与民防建设的自觉性，该校深入扎实地开展了“全民国防教育日”宣传周 活动。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一、加强领导，精心部署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通过此次活动，进一步增强该校师生的国防观念和民防意识，不忘国耻，激发爱国热情，让群众进一步了解掌握必要的国防知识技能，扩大爱国主义教育的的社会影响，不断提高师生的爱国情怀，有利于唤起师生不忘国耻、增强国防观念和爱国情怀。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为了认真开展好该校“全民国防教育日”集中宣传活动，学校领导高度重视，及时安排工作，落实人员，指定实施计划。9 月 7 日下午，召开了工作人员参加会议，部署该校“全民国防教育日”集中宣传活动，并对做好该校宣传活动提出了具体要求，克服时间紧、任务重、工作忙等客观因素，为该校“全民国防教育日”宣传活动的开展打下了良好的基础。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二、条块配合，做好宣传活动工作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“全民国防教育日”集中宣传活动周期间，我场紧紧围绕各自的“全民国防 教育日”工作职责，着力开展“全民国防教育日”宣传活动。根据计划安排，该校于 9 月 11 日至 9 月 15 日上组织全校师生开展全民国防宣传教育宣传活动。在一周的活动中，开展了形式多样的活动。通过“四个一”专题教育活动，即唱一首爱国主义歌曲、组织一次国防教育知识竞赛、举办一次以班为单位的主题班会、观看一部优秀国防教育影视片。宣传标语、宣传板、黑板报等各种形式使全体师生都知道全民国防教育日的来历，今年 9 月 16 日是第二十三个全民国 防教育日，知道“踔厉奋发强国防，勇毅前行乡复兴”这个主题。让该校师生更深了解增强国防观念，强化民防意识，共建平安和谐社会的重要意义和地位。通过宣传活动，取得了良好效果，全校师生纷纷表示，对于国防教育日活动，促进师生的爱国情坏，了解国防知识，具有积极的现实意义。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三、不断总结，继续做好国防宣传教育 国防教育事关广大人民群众的切身利益，做好国防教育宣传工作是保障人民生命安全，促进地区经济发展和构建社会和谐的主要举措，关键是要不断提高全社会的国防观念和防灾减灾意识。 </w:t>
      </w:r>
    </w:p>
    <w:p>
      <w:pPr>
        <w:pStyle w:val="2"/>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anchor distT="0" distB="0" distL="114300" distR="114300" simplePos="0" relativeHeight="251682816" behindDoc="1" locked="0" layoutInCell="1" allowOverlap="1">
            <wp:simplePos x="0" y="0"/>
            <wp:positionH relativeFrom="column">
              <wp:posOffset>250825</wp:posOffset>
            </wp:positionH>
            <wp:positionV relativeFrom="paragraph">
              <wp:posOffset>212090</wp:posOffset>
            </wp:positionV>
            <wp:extent cx="5097780" cy="2661285"/>
            <wp:effectExtent l="0" t="0" r="7620" b="5715"/>
            <wp:wrapTight wrapText="bothSides">
              <wp:wrapPolygon>
                <wp:start x="0" y="0"/>
                <wp:lineTo x="0" y="21523"/>
                <wp:lineTo x="21568" y="21523"/>
                <wp:lineTo x="21568" y="0"/>
                <wp:lineTo x="0" y="0"/>
              </wp:wrapPolygon>
            </wp:wrapTight>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51"/>
                    <a:stretch>
                      <a:fillRect/>
                    </a:stretch>
                  </pic:blipFill>
                  <pic:spPr>
                    <a:xfrm>
                      <a:off x="0" y="0"/>
                      <a:ext cx="5097780" cy="2661285"/>
                    </a:xfrm>
                    <a:prstGeom prst="rect">
                      <a:avLst/>
                    </a:prstGeom>
                    <a:noFill/>
                    <a:ln>
                      <a:noFill/>
                    </a:ln>
                  </pic:spPr>
                </pic:pic>
              </a:graphicData>
            </a:graphic>
          </wp:anchor>
        </w:drawing>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jc w:val="center"/>
        <w:rPr>
          <w:rFonts w:hint="eastAsia"/>
          <w:lang w:val="en-US" w:eastAsia="zh-CN"/>
        </w:rPr>
      </w:pPr>
      <w:r>
        <w:t xml:space="preserve">图 </w:t>
      </w:r>
      <w:r>
        <w:fldChar w:fldCharType="begin"/>
      </w:r>
      <w:r>
        <w:instrText xml:space="preserve"> SEQ 图 \* ARABIC </w:instrText>
      </w:r>
      <w:r>
        <w:fldChar w:fldCharType="separate"/>
      </w:r>
      <w:r>
        <w:t>17</w:t>
      </w:r>
      <w:r>
        <w:fldChar w:fldCharType="end"/>
      </w:r>
      <w:bookmarkStart w:id="109" w:name="_Toc8651"/>
      <w:r>
        <w:t xml:space="preserve">   爱国板报活动</w:t>
      </w:r>
      <w:bookmarkEnd w:id="109"/>
    </w:p>
    <w:p>
      <w:pPr>
        <w:pStyle w:val="3"/>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0" w:rightChars="0" w:firstLine="320" w:firstLineChars="100"/>
        <w:jc w:val="left"/>
        <w:textAlignment w:val="auto"/>
        <w:outlineLvl w:val="1"/>
        <w:rPr>
          <w:rFonts w:hint="eastAsia" w:ascii="楷体" w:hAnsi="楷体" w:eastAsia="楷体" w:cs="楷体"/>
          <w:b w:val="0"/>
          <w:bCs/>
          <w:kern w:val="2"/>
          <w:sz w:val="32"/>
          <w:szCs w:val="22"/>
          <w:lang w:val="en-US" w:eastAsia="zh-CN" w:bidi="ar-SA"/>
        </w:rPr>
      </w:pPr>
      <w:bookmarkStart w:id="110" w:name="_Toc25460"/>
      <w:r>
        <w:rPr>
          <w:rFonts w:hint="eastAsia" w:ascii="楷体" w:hAnsi="楷体" w:eastAsia="楷体" w:cs="楷体"/>
          <w:b w:val="0"/>
          <w:bCs/>
          <w:kern w:val="2"/>
          <w:sz w:val="32"/>
          <w:szCs w:val="22"/>
          <w:lang w:val="en-US" w:eastAsia="zh-CN" w:bidi="ar-SA"/>
        </w:rPr>
        <w:fldChar w:fldCharType="begin"/>
      </w:r>
      <w:r>
        <w:rPr>
          <w:rFonts w:hint="eastAsia" w:ascii="楷体" w:hAnsi="楷体" w:eastAsia="楷体" w:cs="楷体"/>
          <w:b w:val="0"/>
          <w:bCs/>
          <w:kern w:val="2"/>
          <w:sz w:val="32"/>
          <w:szCs w:val="22"/>
          <w:lang w:val="en-US" w:eastAsia="zh-CN" w:bidi="ar-SA"/>
        </w:rPr>
        <w:instrText xml:space="preserve"> HYPERLINK \l _Toc966 </w:instrText>
      </w:r>
      <w:r>
        <w:rPr>
          <w:rFonts w:hint="eastAsia" w:ascii="楷体" w:hAnsi="楷体" w:eastAsia="楷体" w:cs="楷体"/>
          <w:b w:val="0"/>
          <w:bCs/>
          <w:kern w:val="2"/>
          <w:sz w:val="32"/>
          <w:szCs w:val="22"/>
          <w:lang w:val="en-US" w:eastAsia="zh-CN" w:bidi="ar-SA"/>
        </w:rPr>
        <w:fldChar w:fldCharType="separate"/>
      </w:r>
      <w:r>
        <w:rPr>
          <w:rFonts w:hint="eastAsia" w:ascii="楷体" w:hAnsi="楷体" w:eastAsia="楷体" w:cs="楷体"/>
          <w:b w:val="0"/>
          <w:bCs/>
          <w:kern w:val="2"/>
          <w:sz w:val="32"/>
          <w:szCs w:val="22"/>
          <w:lang w:val="en-US" w:eastAsia="zh-CN" w:bidi="ar-SA"/>
        </w:rPr>
        <w:t>（三）传承中华优秀传统文化</w:t>
      </w:r>
      <w:r>
        <w:rPr>
          <w:rFonts w:hint="eastAsia" w:ascii="楷体" w:hAnsi="楷体" w:eastAsia="楷体" w:cs="楷体"/>
          <w:b w:val="0"/>
          <w:bCs/>
          <w:kern w:val="2"/>
          <w:sz w:val="32"/>
          <w:szCs w:val="22"/>
          <w:lang w:val="en-US" w:eastAsia="zh-CN" w:bidi="ar-SA"/>
        </w:rPr>
        <w:fldChar w:fldCharType="end"/>
      </w:r>
      <w:bookmarkEnd w:id="110"/>
    </w:p>
    <w:p>
      <w:pPr>
        <w:keepNext w:val="0"/>
        <w:keepLines w:val="0"/>
        <w:pageBreakBefore w:val="0"/>
        <w:widowControl/>
        <w:suppressLineNumbers w:val="0"/>
        <w:kinsoku/>
        <w:wordWrap/>
        <w:overflowPunct/>
        <w:topLinePunct w:val="0"/>
        <w:autoSpaceDE/>
        <w:autoSpaceDN/>
        <w:bidi w:val="0"/>
        <w:adjustRightInd/>
        <w:snapToGrid/>
        <w:ind w:firstLine="482" w:firstLineChars="200"/>
        <w:jc w:val="left"/>
        <w:textAlignment w:val="auto"/>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典型案例</w:t>
      </w:r>
      <w:r>
        <w:rPr>
          <w:rFonts w:hint="default" w:ascii="仿宋" w:hAnsi="仿宋" w:eastAsia="仿宋" w:cs="仿宋"/>
          <w:b/>
          <w:bCs/>
          <w:kern w:val="2"/>
          <w:sz w:val="24"/>
          <w:szCs w:val="24"/>
          <w:lang w:val="en-US" w:eastAsia="zh-CN" w:bidi="ar-SA"/>
        </w:rPr>
        <w:t>12</w:t>
      </w:r>
    </w:p>
    <w:p>
      <w:pPr>
        <w:pStyle w:val="2"/>
        <w:jc w:val="center"/>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涿鹿县职教中心在县2024年“网络中国节·端午”网络创意活动中获众多奖项并承办颁奖仪式</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2024年6月20日，由中共涿鹿县委网信办、涿鹿县新时代文明实践中心主办，涿鹿县职教中心承办的涿鹿县2024年“网络中国节˙端午”网络创意作品比赛在涿鹿县职教中心阶梯教室举行颁奖仪式。县委网信办领导及学校领导参加仪式并讲话。涿鹿职教22位参赛学生、4位辅导教师全部获奖。其中一等奖四名；二等奖八名；三等奖十名，另有李东生、邓峰、艾冲、任丽东四位老师获优秀指导教师奖，学校获优秀组织奖。</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县委网信办副主任郜文东表示此次比赛以网络为媒，对传承弘扬端午文化、营造浓厚节日氛围有着独特意义。端午节作为寄予了深厚文化内涵与民族情感的中华民族传统节日，值得国人大力宣传其文化内涵、弘扬其民族精神。他表示利用网络平台传承弘扬中国节日文化，这只是一个开始，希望在场学生积极参与未来的各项活动，为网络文化宣传添砖加瓦。</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此次颁奖不仅是对获奖学生的表彰，更是对所有参赛学生学习和创作能力的肯定。学生在创作作品的过程中，不仅学习了更多图片编辑技术，提高了专业技能的熟练程度，也对端午节背后的文化内涵进行了充分挖掘，对其所蕴含的民族精神有了更加深刻的理解，激发了学生对中国传统文化的兴趣与创作激情。</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此次活动用网络的语言诠释了端午节深厚的文化底蕴与民族精神。文化是一个国家、一个民族的灵魂，只有每个人深深热爱中国文化，才能使中华民族屹立于世界民族之林。此次创意活动中涿鹿职教积极参与并获得众多奖项，为该校今后下大力推进学科教学与文化传承有机融合，从而实现专业建设和校园文化软实力双向提升指明了方向、奠定了基础、蓄积了能量。</w:t>
      </w:r>
    </w:p>
    <w:p>
      <w:pPr>
        <w:pStyle w:val="2"/>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1833245" cy="1032510"/>
            <wp:effectExtent l="0" t="0" r="10795" b="3810"/>
            <wp:docPr id="3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IMG_256"/>
                    <pic:cNvPicPr>
                      <a:picLocks noChangeAspect="1"/>
                    </pic:cNvPicPr>
                  </pic:nvPicPr>
                  <pic:blipFill>
                    <a:blip r:embed="rId52"/>
                    <a:stretch>
                      <a:fillRect/>
                    </a:stretch>
                  </pic:blipFill>
                  <pic:spPr>
                    <a:xfrm>
                      <a:off x="0" y="0"/>
                      <a:ext cx="1833245" cy="1032510"/>
                    </a:xfrm>
                    <a:prstGeom prst="rect">
                      <a:avLst/>
                    </a:prstGeom>
                    <a:noFill/>
                    <a:ln w="9525">
                      <a:noFill/>
                    </a:ln>
                  </pic:spPr>
                </pic:pic>
              </a:graphicData>
            </a:graphic>
          </wp:inline>
        </w:drawing>
      </w:r>
      <w:r>
        <w:rPr>
          <w:rFonts w:hint="eastAsia" w:ascii="仿宋_GB2312" w:hAnsi="仿宋_GB2312" w:eastAsia="仿宋_GB2312" w:cs="仿宋_GB2312"/>
          <w:kern w:val="2"/>
          <w:sz w:val="32"/>
          <w:szCs w:val="32"/>
          <w:lang w:val="en-US" w:eastAsia="zh-CN" w:bidi="ar-SA"/>
        </w:rPr>
        <w:drawing>
          <wp:inline distT="0" distB="0" distL="114300" distR="114300">
            <wp:extent cx="1174750" cy="869315"/>
            <wp:effectExtent l="0" t="0" r="13970" b="14605"/>
            <wp:docPr id="3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IMG_256"/>
                    <pic:cNvPicPr>
                      <a:picLocks noChangeAspect="1"/>
                    </pic:cNvPicPr>
                  </pic:nvPicPr>
                  <pic:blipFill>
                    <a:blip r:embed="rId53"/>
                    <a:srcRect l="2465" t="3127" r="4266" b="5319"/>
                    <a:stretch>
                      <a:fillRect/>
                    </a:stretch>
                  </pic:blipFill>
                  <pic:spPr>
                    <a:xfrm>
                      <a:off x="0" y="0"/>
                      <a:ext cx="1174750" cy="869315"/>
                    </a:xfrm>
                    <a:prstGeom prst="rect">
                      <a:avLst/>
                    </a:prstGeom>
                    <a:noFill/>
                    <a:ln w="9525">
                      <a:noFill/>
                    </a:ln>
                  </pic:spPr>
                </pic:pic>
              </a:graphicData>
            </a:graphic>
          </wp:inline>
        </w:drawing>
      </w:r>
      <w:r>
        <w:rPr>
          <w:rFonts w:hint="eastAsia" w:ascii="仿宋_GB2312" w:hAnsi="仿宋_GB2312" w:eastAsia="仿宋_GB2312" w:cs="仿宋_GB2312"/>
          <w:kern w:val="2"/>
          <w:sz w:val="32"/>
          <w:szCs w:val="32"/>
          <w:lang w:val="en-US" w:eastAsia="zh-CN" w:bidi="ar-SA"/>
        </w:rPr>
        <w:drawing>
          <wp:inline distT="0" distB="0" distL="114300" distR="114300">
            <wp:extent cx="1891665" cy="1065530"/>
            <wp:effectExtent l="0" t="0" r="13335" b="1270"/>
            <wp:docPr id="3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IMG_256"/>
                    <pic:cNvPicPr>
                      <a:picLocks noChangeAspect="1"/>
                    </pic:cNvPicPr>
                  </pic:nvPicPr>
                  <pic:blipFill>
                    <a:blip r:embed="rId54"/>
                    <a:stretch>
                      <a:fillRect/>
                    </a:stretch>
                  </pic:blipFill>
                  <pic:spPr>
                    <a:xfrm>
                      <a:off x="0" y="0"/>
                      <a:ext cx="1891665" cy="1065530"/>
                    </a:xfrm>
                    <a:prstGeom prst="rect">
                      <a:avLst/>
                    </a:prstGeom>
                    <a:noFill/>
                    <a:ln w="9525">
                      <a:noFill/>
                    </a:ln>
                  </pic:spPr>
                </pic:pic>
              </a:graphicData>
            </a:graphic>
          </wp:inline>
        </w:drawing>
      </w:r>
    </w:p>
    <w:p>
      <w:pPr>
        <w:pStyle w:val="10"/>
        <w:jc w:val="center"/>
        <w:rPr>
          <w:rFonts w:hint="eastAsia"/>
          <w:lang w:val="en-US" w:eastAsia="zh-CN"/>
        </w:rPr>
      </w:pPr>
      <w:r>
        <w:t xml:space="preserve">图 </w:t>
      </w:r>
      <w:r>
        <w:fldChar w:fldCharType="begin"/>
      </w:r>
      <w:r>
        <w:instrText xml:space="preserve"> SEQ 图 \* ARABIC </w:instrText>
      </w:r>
      <w:r>
        <w:fldChar w:fldCharType="separate"/>
      </w:r>
      <w:r>
        <w:t>18</w:t>
      </w:r>
      <w:r>
        <w:fldChar w:fldCharType="end"/>
      </w:r>
      <w:bookmarkStart w:id="111" w:name="_Toc1840"/>
      <w:r>
        <w:t xml:space="preserve">   网络创意获奖作品及奖状</w:t>
      </w:r>
      <w:bookmarkEnd w:id="111"/>
    </w:p>
    <w:p>
      <w:pPr>
        <w:keepNext w:val="0"/>
        <w:keepLines w:val="0"/>
        <w:pageBreakBefore w:val="0"/>
        <w:widowControl/>
        <w:suppressLineNumbers w:val="0"/>
        <w:kinsoku/>
        <w:wordWrap/>
        <w:overflowPunct/>
        <w:topLinePunct w:val="0"/>
        <w:autoSpaceDE/>
        <w:autoSpaceDN/>
        <w:bidi w:val="0"/>
        <w:adjustRightInd/>
        <w:snapToGrid/>
        <w:ind w:firstLine="482" w:firstLineChars="200"/>
        <w:jc w:val="left"/>
        <w:textAlignment w:val="auto"/>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典型案例</w:t>
      </w:r>
      <w:r>
        <w:rPr>
          <w:rFonts w:hint="default" w:ascii="仿宋" w:hAnsi="仿宋" w:eastAsia="仿宋" w:cs="仿宋"/>
          <w:b/>
          <w:bCs/>
          <w:kern w:val="2"/>
          <w:sz w:val="24"/>
          <w:szCs w:val="24"/>
          <w:lang w:val="en-US" w:eastAsia="zh-CN" w:bidi="ar-SA"/>
        </w:rPr>
        <w:t>13</w:t>
      </w:r>
    </w:p>
    <w:p>
      <w:pPr>
        <w:pStyle w:val="2"/>
        <w:jc w:val="center"/>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涿鹿县职教中心“九九重阳节”朗诵比赛圆满举行</w:t>
      </w:r>
    </w:p>
    <w:p>
      <w:pPr>
        <w:pStyle w:val="2"/>
        <w:keepNext w:val="0"/>
        <w:keepLines w:val="0"/>
        <w:pageBreakBefore w:val="0"/>
        <w:widowControl w:val="0"/>
        <w:kinsoku/>
        <w:wordWrap/>
        <w:overflowPunct/>
        <w:topLinePunct w:val="0"/>
        <w:autoSpaceDE/>
        <w:autoSpaceDN/>
        <w:bidi w:val="0"/>
        <w:adjustRightInd/>
        <w:snapToGrid/>
        <w:spacing w:before="0"/>
        <w:ind w:lef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2024年10 月 11 日农历九月初九，为弘扬中华民族尊老敬老的传统美德，丰富校园文化生活，涿鹿县职教中心教育处、团委于阶梯教室举办了一场精彩纷呈的重阳节朗诵比赛。</w:t>
      </w:r>
    </w:p>
    <w:p>
      <w:pPr>
        <w:pStyle w:val="2"/>
        <w:keepNext w:val="0"/>
        <w:keepLines w:val="0"/>
        <w:pageBreakBefore w:val="0"/>
        <w:widowControl w:val="0"/>
        <w:kinsoku/>
        <w:wordWrap/>
        <w:overflowPunct/>
        <w:topLinePunct w:val="0"/>
        <w:autoSpaceDE/>
        <w:autoSpaceDN/>
        <w:bidi w:val="0"/>
        <w:adjustRightInd/>
        <w:snapToGrid/>
        <w:spacing w:before="0"/>
        <w:ind w:lef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本次比赛得到了全校师生的广泛关注和积极参与。比赛现场气氛热烈，选手们以饱满的激情抒发着对长辈的敬爱之情和对传统节日的深刻感悟。由教育处、升学部选派精英老师组成的评委团，以专业的眼光和严谨的态度，对每一位选手的表现进行了认真评审。</w:t>
      </w:r>
    </w:p>
    <w:p>
      <w:pPr>
        <w:pStyle w:val="2"/>
        <w:keepNext w:val="0"/>
        <w:keepLines w:val="0"/>
        <w:pageBreakBefore w:val="0"/>
        <w:widowControl w:val="0"/>
        <w:kinsoku/>
        <w:wordWrap/>
        <w:overflowPunct/>
        <w:topLinePunct w:val="0"/>
        <w:autoSpaceDE/>
        <w:autoSpaceDN/>
        <w:bidi w:val="0"/>
        <w:adjustRightInd/>
        <w:snapToGrid/>
        <w:spacing w:before="0"/>
        <w:ind w:lef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比赛中，选手们紧扣重阳节主题，有的深情朗诵经典诗词，如“独在异乡为异客，每逢佳节倍思亲”，表达了对远方亲人的思念；有的讲述自己与长辈之间的感人故事，传递着浓浓的亲情；还有的呼吁大家关爱老人，弘扬尊老敬老的传统美德。他们的精彩表现赢得了现场观众的阵阵掌声。经过激烈角逐，多位同学用自己的实力和才华荣获一二三等奖。</w:t>
      </w:r>
    </w:p>
    <w:p>
      <w:pPr>
        <w:pStyle w:val="2"/>
        <w:keepNext w:val="0"/>
        <w:keepLines w:val="0"/>
        <w:pageBreakBefore w:val="0"/>
        <w:widowControl w:val="0"/>
        <w:kinsoku/>
        <w:wordWrap/>
        <w:overflowPunct/>
        <w:topLinePunct w:val="0"/>
        <w:autoSpaceDE/>
        <w:autoSpaceDN/>
        <w:bidi w:val="0"/>
        <w:adjustRightInd/>
        <w:snapToGrid/>
        <w:spacing w:before="0"/>
        <w:ind w:lef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drawing>
          <wp:anchor distT="0" distB="0" distL="114300" distR="114300" simplePos="0" relativeHeight="251677696" behindDoc="0" locked="0" layoutInCell="1" allowOverlap="1">
            <wp:simplePos x="0" y="0"/>
            <wp:positionH relativeFrom="column">
              <wp:posOffset>445770</wp:posOffset>
            </wp:positionH>
            <wp:positionV relativeFrom="paragraph">
              <wp:posOffset>443230</wp:posOffset>
            </wp:positionV>
            <wp:extent cx="4617085" cy="2560320"/>
            <wp:effectExtent l="0" t="0" r="635" b="0"/>
            <wp:wrapTopAndBottom/>
            <wp:docPr id="1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56"/>
                    <pic:cNvPicPr>
                      <a:picLocks noChangeAspect="1"/>
                    </pic:cNvPicPr>
                  </pic:nvPicPr>
                  <pic:blipFill>
                    <a:blip r:embed="rId55"/>
                    <a:srcRect l="9433" t="30274" r="5949"/>
                    <a:stretch>
                      <a:fillRect/>
                    </a:stretch>
                  </pic:blipFill>
                  <pic:spPr>
                    <a:xfrm>
                      <a:off x="0" y="0"/>
                      <a:ext cx="4617085" cy="2560320"/>
                    </a:xfrm>
                    <a:prstGeom prst="rect">
                      <a:avLst/>
                    </a:prstGeom>
                    <a:noFill/>
                    <a:ln w="9525">
                      <a:noFill/>
                    </a:ln>
                  </pic:spPr>
                </pic:pic>
              </a:graphicData>
            </a:graphic>
          </wp:anchor>
        </w:drawing>
      </w:r>
      <w:r>
        <w:rPr>
          <w:rFonts w:hint="eastAsia" w:ascii="仿宋" w:hAnsi="仿宋" w:eastAsia="仿宋" w:cs="仿宋"/>
          <w:kern w:val="2"/>
          <w:sz w:val="32"/>
          <w:szCs w:val="32"/>
          <w:lang w:val="en-US" w:eastAsia="zh-CN" w:bidi="ar-SA"/>
        </w:rPr>
        <w:t>比赛结束后，该校团委书记对所有参赛选手的精彩表现给</w:t>
      </w:r>
    </w:p>
    <w:p>
      <w:pPr>
        <w:pStyle w:val="10"/>
        <w:keepNext w:val="0"/>
        <w:keepLines w:val="0"/>
        <w:pageBreakBefore w:val="0"/>
        <w:widowControl w:val="0"/>
        <w:kinsoku/>
        <w:wordWrap/>
        <w:overflowPunct/>
        <w:topLinePunct w:val="0"/>
        <w:autoSpaceDE/>
        <w:autoSpaceDN/>
        <w:bidi w:val="0"/>
        <w:adjustRightInd/>
        <w:snapToGrid/>
        <w:spacing w:before="0"/>
        <w:ind w:left="0" w:leftChars="0" w:firstLine="0" w:firstLineChars="0"/>
        <w:jc w:val="center"/>
        <w:textAlignment w:val="auto"/>
      </w:pPr>
      <w:r>
        <w:t xml:space="preserve">图 </w:t>
      </w:r>
      <w:r>
        <w:fldChar w:fldCharType="begin"/>
      </w:r>
      <w:r>
        <w:instrText xml:space="preserve"> SEQ 图 \* ARABIC </w:instrText>
      </w:r>
      <w:r>
        <w:fldChar w:fldCharType="separate"/>
      </w:r>
      <w:r>
        <w:t>19</w:t>
      </w:r>
      <w:r>
        <w:fldChar w:fldCharType="end"/>
      </w:r>
      <w:bookmarkStart w:id="112" w:name="_Toc21340"/>
      <w:r>
        <w:t xml:space="preserve">  重阳节活动获奖学生留影</w:t>
      </w:r>
      <w:bookmarkEnd w:id="112"/>
    </w:p>
    <w:p>
      <w:pPr>
        <w:pStyle w:val="10"/>
        <w:keepNext w:val="0"/>
        <w:keepLines w:val="0"/>
        <w:pageBreakBefore w:val="0"/>
        <w:widowControl w:val="0"/>
        <w:kinsoku/>
        <w:wordWrap/>
        <w:overflowPunct/>
        <w:topLinePunct w:val="0"/>
        <w:autoSpaceDE/>
        <w:autoSpaceDN/>
        <w:bidi w:val="0"/>
        <w:adjustRightInd/>
        <w:snapToGrid/>
        <w:spacing w:before="0"/>
        <w:ind w:left="0" w:leftChars="0" w:firstLine="0" w:firstLineChars="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予了高度评价，对评委老师的辛勤付出表示衷心感谢，指出，重阳节是中华民族的传统节日，举办此次朗诵比赛的目的在于引导同学们持续传承尊老敬老优秀传统美德，培养同学们的感恩意识和社会责任感，希望同学们能够将这份感恩之情转化为实际行动，在日常生活中多关心长辈，为他们多做一些力所能及的事情。</w:t>
      </w:r>
    </w:p>
    <w:p>
      <w:pPr>
        <w:pStyle w:val="2"/>
        <w:keepNext w:val="0"/>
        <w:keepLines w:val="0"/>
        <w:pageBreakBefore w:val="0"/>
        <w:widowControl w:val="0"/>
        <w:kinsoku/>
        <w:wordWrap/>
        <w:overflowPunct/>
        <w:topLinePunct w:val="0"/>
        <w:autoSpaceDE/>
        <w:autoSpaceDN/>
        <w:bidi w:val="0"/>
        <w:adjustRightInd/>
        <w:snapToGrid/>
        <w:spacing w:before="0"/>
        <w:ind w:lef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此次重阳节朗诵比赛不仅为同学们提供了一个展示自我的平台，也让同学们在朗诵中感受到了传统文化的魅力，进一步增强了同学们的民族自豪感和文化自信心。</w:t>
      </w:r>
    </w:p>
    <w:p>
      <w:pPr>
        <w:keepNext w:val="0"/>
        <w:keepLines w:val="0"/>
        <w:pageBreakBefore w:val="0"/>
        <w:widowControl/>
        <w:suppressLineNumbers w:val="0"/>
        <w:kinsoku/>
        <w:wordWrap/>
        <w:overflowPunct/>
        <w:topLinePunct w:val="0"/>
        <w:autoSpaceDE/>
        <w:autoSpaceDN/>
        <w:bidi w:val="0"/>
        <w:adjustRightInd/>
        <w:snapToGrid/>
        <w:ind w:firstLine="482" w:firstLineChars="200"/>
        <w:jc w:val="left"/>
        <w:textAlignment w:val="auto"/>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典型案例</w:t>
      </w:r>
      <w:r>
        <w:rPr>
          <w:rFonts w:hint="default" w:ascii="仿宋" w:hAnsi="仿宋" w:eastAsia="仿宋" w:cs="仿宋"/>
          <w:b/>
          <w:bCs/>
          <w:kern w:val="2"/>
          <w:sz w:val="24"/>
          <w:szCs w:val="24"/>
          <w:lang w:val="en-US" w:eastAsia="zh-CN" w:bidi="ar-SA"/>
        </w:rPr>
        <w:t>13</w:t>
      </w:r>
    </w:p>
    <w:p>
      <w:pPr>
        <w:pStyle w:val="2"/>
        <w:keepNext w:val="0"/>
        <w:keepLines w:val="0"/>
        <w:pageBreakBefore w:val="0"/>
        <w:widowControl w:val="0"/>
        <w:kinsoku/>
        <w:wordWrap/>
        <w:overflowPunct/>
        <w:topLinePunct w:val="0"/>
        <w:autoSpaceDE/>
        <w:autoSpaceDN/>
        <w:bidi w:val="0"/>
        <w:adjustRightInd/>
        <w:snapToGrid/>
        <w:spacing w:before="0"/>
        <w:ind w:left="0" w:firstLine="640" w:firstLineChars="200"/>
        <w:jc w:val="center"/>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感恩敬老 爱在重阳</w:t>
      </w:r>
    </w:p>
    <w:p>
      <w:pPr>
        <w:pStyle w:val="2"/>
        <w:keepNext w:val="0"/>
        <w:keepLines w:val="0"/>
        <w:pageBreakBefore w:val="0"/>
        <w:widowControl w:val="0"/>
        <w:kinsoku/>
        <w:wordWrap/>
        <w:overflowPunct/>
        <w:topLinePunct w:val="0"/>
        <w:autoSpaceDE/>
        <w:autoSpaceDN/>
        <w:bidi w:val="0"/>
        <w:adjustRightInd/>
        <w:snapToGrid/>
        <w:spacing w:before="0"/>
        <w:ind w:left="0" w:firstLine="640" w:firstLineChars="200"/>
        <w:jc w:val="center"/>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涿鹿县技工学校敬老院开展敬老爱老服务</w:t>
      </w:r>
    </w:p>
    <w:p>
      <w:pPr>
        <w:pStyle w:val="2"/>
        <w:keepNext w:val="0"/>
        <w:keepLines w:val="0"/>
        <w:pageBreakBefore w:val="0"/>
        <w:widowControl w:val="0"/>
        <w:kinsoku/>
        <w:wordWrap/>
        <w:overflowPunct/>
        <w:topLinePunct w:val="0"/>
        <w:autoSpaceDE/>
        <w:autoSpaceDN/>
        <w:bidi w:val="0"/>
        <w:adjustRightInd/>
        <w:snapToGrid/>
        <w:spacing w:before="0"/>
        <w:ind w:lef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金秋十月，九九重阳，恰逢收获时节，感恩回馈社会。值此佳节，学校组织40名学生到涿鹿县中心敬老院开展“感恩敬老 爱在重阳”主题活动，活动“应景”又“入心”，为重阳节这一传统节日赋予了“建设和谐社会” 新内涵。</w:t>
      </w:r>
    </w:p>
    <w:p>
      <w:pPr>
        <w:pStyle w:val="2"/>
        <w:keepNext w:val="0"/>
        <w:keepLines w:val="0"/>
        <w:pageBreakBefore w:val="0"/>
        <w:widowControl w:val="0"/>
        <w:kinsoku/>
        <w:wordWrap/>
        <w:overflowPunct/>
        <w:topLinePunct w:val="0"/>
        <w:autoSpaceDE/>
        <w:autoSpaceDN/>
        <w:bidi w:val="0"/>
        <w:adjustRightInd/>
        <w:snapToGrid/>
        <w:spacing w:before="0"/>
        <w:ind w:lef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活动中，医护专业充分发挥专业优势，精心制定活动计划，印制宣传手册和海报，将学生划分为医疗组、健康宣传组、谈话谈心组、卫生保障组、文艺表演组并对学生进行技能服务强化培训，确保活动取得实效。活动中同学们通过言语与行动向长辈传递出浓浓的敬意与爱意。他们为老人们测量血压并讲解了高血压的危害以及如何判别高、低血压；发放《手册》并讲解普及了心脏病高血压糖尿病等常见病日常预防、日常用药安全等；与老人们唠家常倾听他们的心声、听他们讲战斗英雄革命故事；为老人们打扫房间、修剪指甲。孩子们还为老人们唱歌、表演舞蹈让他们感受到了前所未有的快乐。同学们与敬老中心的老人们一起度过了一个难忘的重阳节，践行了他们“尊老、敬老、亲老、爱老、助老”的那份社会责任，加深了他们对中华传统美德的理解和崇尚。“尊老、敬老、爱老”的情感在同学们心中深深地扎根、发芽，也必会在今后的传承路上繁花似锦。</w:t>
      </w:r>
    </w:p>
    <w:p>
      <w:pPr>
        <w:pStyle w:val="2"/>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2509520" cy="1515110"/>
            <wp:effectExtent l="0" t="0" r="508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6"/>
                    <a:srcRect l="4401" t="16277" r="3477" b="8174"/>
                    <a:stretch>
                      <a:fillRect/>
                    </a:stretch>
                  </pic:blipFill>
                  <pic:spPr>
                    <a:xfrm>
                      <a:off x="0" y="0"/>
                      <a:ext cx="2509520" cy="1515110"/>
                    </a:xfrm>
                    <a:prstGeom prst="rect">
                      <a:avLst/>
                    </a:prstGeom>
                    <a:noFill/>
                    <a:ln>
                      <a:noFill/>
                    </a:ln>
                  </pic:spPr>
                </pic:pic>
              </a:graphicData>
            </a:graphic>
          </wp:inline>
        </w:drawing>
      </w:r>
      <w:r>
        <w:rPr>
          <w:rFonts w:hint="eastAsia" w:ascii="仿宋_GB2312" w:hAnsi="仿宋_GB2312" w:eastAsia="仿宋_GB2312" w:cs="仿宋_GB2312"/>
          <w:kern w:val="2"/>
          <w:sz w:val="32"/>
          <w:szCs w:val="32"/>
          <w:lang w:val="en-US" w:eastAsia="zh-CN" w:bidi="ar-SA"/>
        </w:rPr>
        <w:drawing>
          <wp:inline distT="0" distB="0" distL="114300" distR="114300">
            <wp:extent cx="2330450" cy="1528445"/>
            <wp:effectExtent l="0" t="0" r="1270" b="1079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57"/>
                    <a:srcRect l="1521" t="-287" r="4729" b="8180"/>
                    <a:stretch>
                      <a:fillRect/>
                    </a:stretch>
                  </pic:blipFill>
                  <pic:spPr>
                    <a:xfrm>
                      <a:off x="0" y="0"/>
                      <a:ext cx="2330450" cy="1528445"/>
                    </a:xfrm>
                    <a:prstGeom prst="rect">
                      <a:avLst/>
                    </a:prstGeom>
                    <a:noFill/>
                    <a:ln>
                      <a:noFill/>
                    </a:ln>
                  </pic:spPr>
                </pic:pic>
              </a:graphicData>
            </a:graphic>
          </wp:inline>
        </w:drawing>
      </w:r>
    </w:p>
    <w:p>
      <w:pPr>
        <w:pStyle w:val="10"/>
        <w:jc w:val="center"/>
        <w:rPr>
          <w:rFonts w:hint="eastAsia"/>
          <w:lang w:val="en-US" w:eastAsia="zh-CN"/>
        </w:rPr>
      </w:pPr>
      <w:r>
        <w:t xml:space="preserve">图 </w:t>
      </w:r>
      <w:r>
        <w:fldChar w:fldCharType="begin"/>
      </w:r>
      <w:r>
        <w:instrText xml:space="preserve"> SEQ 图 \* ARABIC </w:instrText>
      </w:r>
      <w:r>
        <w:fldChar w:fldCharType="separate"/>
      </w:r>
      <w:r>
        <w:t>20</w:t>
      </w:r>
      <w:r>
        <w:fldChar w:fldCharType="end"/>
      </w:r>
      <w:bookmarkStart w:id="113" w:name="_Toc574"/>
      <w:r>
        <w:t xml:space="preserve">  重阳节职教学生献爱心</w:t>
      </w:r>
      <w:bookmarkEnd w:id="113"/>
    </w:p>
    <w:p>
      <w:pPr>
        <w:keepNext w:val="0"/>
        <w:keepLines w:val="0"/>
        <w:pageBreakBefore w:val="0"/>
        <w:widowControl/>
        <w:suppressLineNumbers w:val="0"/>
        <w:kinsoku/>
        <w:wordWrap/>
        <w:overflowPunct/>
        <w:topLinePunct w:val="0"/>
        <w:autoSpaceDE/>
        <w:autoSpaceDN/>
        <w:bidi w:val="0"/>
        <w:adjustRightInd/>
        <w:snapToGrid/>
        <w:ind w:firstLine="482" w:firstLineChars="200"/>
        <w:jc w:val="left"/>
        <w:textAlignment w:val="auto"/>
        <w:rPr>
          <w:rFonts w:hint="eastAsia" w:ascii="仿宋" w:hAnsi="仿宋" w:eastAsia="仿宋" w:cs="仿宋"/>
          <w:b/>
          <w:bCs/>
          <w:kern w:val="2"/>
          <w:sz w:val="24"/>
          <w:szCs w:val="24"/>
          <w:lang w:val="en-US" w:eastAsia="zh-CN" w:bidi="ar-SA"/>
        </w:rPr>
      </w:pPr>
    </w:p>
    <w:p>
      <w:pPr>
        <w:keepNext w:val="0"/>
        <w:keepLines w:val="0"/>
        <w:pageBreakBefore w:val="0"/>
        <w:widowControl/>
        <w:suppressLineNumbers w:val="0"/>
        <w:kinsoku/>
        <w:wordWrap/>
        <w:overflowPunct/>
        <w:topLinePunct w:val="0"/>
        <w:autoSpaceDE/>
        <w:autoSpaceDN/>
        <w:bidi w:val="0"/>
        <w:adjustRightInd/>
        <w:snapToGrid/>
        <w:ind w:firstLine="482" w:firstLineChars="200"/>
        <w:jc w:val="left"/>
        <w:textAlignment w:val="auto"/>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典型案例</w:t>
      </w:r>
      <w:r>
        <w:rPr>
          <w:rFonts w:hint="default" w:ascii="仿宋" w:hAnsi="仿宋" w:eastAsia="仿宋" w:cs="仿宋"/>
          <w:b/>
          <w:bCs/>
          <w:kern w:val="2"/>
          <w:sz w:val="24"/>
          <w:szCs w:val="24"/>
          <w:lang w:val="en-US" w:eastAsia="zh-CN" w:bidi="ar-SA"/>
        </w:rPr>
        <w:t>14</w:t>
      </w:r>
    </w:p>
    <w:p>
      <w:pPr>
        <w:pStyle w:val="2"/>
        <w:keepNext w:val="0"/>
        <w:keepLines w:val="0"/>
        <w:pageBreakBefore w:val="0"/>
        <w:widowControl w:val="0"/>
        <w:kinsoku/>
        <w:wordWrap/>
        <w:overflowPunct/>
        <w:topLinePunct w:val="0"/>
        <w:autoSpaceDE/>
        <w:autoSpaceDN/>
        <w:bidi w:val="0"/>
        <w:adjustRightInd/>
        <w:snapToGrid/>
        <w:spacing w:before="0"/>
        <w:ind w:left="0" w:firstLine="640" w:firstLineChars="200"/>
        <w:jc w:val="center"/>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智慧博弈，乐在“棋”中</w:t>
      </w:r>
    </w:p>
    <w:p>
      <w:pPr>
        <w:pStyle w:val="2"/>
        <w:keepNext w:val="0"/>
        <w:keepLines w:val="0"/>
        <w:pageBreakBefore w:val="0"/>
        <w:widowControl w:val="0"/>
        <w:kinsoku/>
        <w:wordWrap/>
        <w:overflowPunct/>
        <w:topLinePunct w:val="0"/>
        <w:autoSpaceDE/>
        <w:autoSpaceDN/>
        <w:bidi w:val="0"/>
        <w:adjustRightInd/>
        <w:snapToGrid/>
        <w:spacing w:before="0"/>
        <w:ind w:left="0" w:firstLine="640" w:firstLineChars="200"/>
        <w:jc w:val="center"/>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涿鹿老年开放大学举办象棋大赛</w:t>
      </w:r>
    </w:p>
    <w:p>
      <w:pPr>
        <w:pStyle w:val="2"/>
        <w:keepNext w:val="0"/>
        <w:keepLines w:val="0"/>
        <w:pageBreakBefore w:val="0"/>
        <w:widowControl w:val="0"/>
        <w:kinsoku/>
        <w:wordWrap/>
        <w:overflowPunct/>
        <w:topLinePunct w:val="0"/>
        <w:autoSpaceDE/>
        <w:autoSpaceDN/>
        <w:bidi w:val="0"/>
        <w:adjustRightInd/>
        <w:snapToGrid/>
        <w:spacing w:before="0"/>
        <w:ind w:lef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涿鹿老年开放大学一直致力于为老年朋友们举办丰富多彩的文化活动，让他们在学习和娱乐中度过充实而有意义的晚年时光。此次象棋大赛，正是涿鹿老年开放大学践行这一宗旨的生动体现。通过举办这样的活动，不仅可以丰富老年朋友们的精神文化生活，还可以促进他们之间的交流与沟通，增强他们的身心健康。在未来的日子里，涿鹿老年开放大学将继续举办更多形式多样、内容丰富的文化活动，为老年朋友们打造一个温馨、和谐、快乐的学习和生活环境。</w:t>
      </w:r>
    </w:p>
    <w:p>
      <w:pPr>
        <w:pStyle w:val="2"/>
        <w:keepNext w:val="0"/>
        <w:keepLines w:val="0"/>
        <w:pageBreakBefore w:val="0"/>
        <w:widowControl w:val="0"/>
        <w:kinsoku/>
        <w:wordWrap/>
        <w:overflowPunct/>
        <w:topLinePunct w:val="0"/>
        <w:autoSpaceDE/>
        <w:autoSpaceDN/>
        <w:bidi w:val="0"/>
        <w:adjustRightInd/>
        <w:snapToGrid/>
        <w:spacing w:before="0"/>
        <w:ind w:lef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大赛当天，参赛的老年选手们早早地来到了比赛现场，眼中闪烁着对比赛的期待和热情。棋盘之上，楚河汉界，兵来将挡，水来土掩。老人们全神贯注地投入到比赛中，他们时而沉思默想，时而果断落子，每一步棋都深思熟虑。在这方小小的棋盘上，他们仿佛回到了年轻时代，充满了激情与活力。</w:t>
      </w:r>
    </w:p>
    <w:p>
      <w:pPr>
        <w:pStyle w:val="2"/>
        <w:keepNext w:val="0"/>
        <w:keepLines w:val="0"/>
        <w:pageBreakBefore w:val="0"/>
        <w:widowControl w:val="0"/>
        <w:kinsoku/>
        <w:wordWrap/>
        <w:overflowPunct/>
        <w:topLinePunct w:val="0"/>
        <w:autoSpaceDE/>
        <w:autoSpaceDN/>
        <w:bidi w:val="0"/>
        <w:adjustRightInd/>
        <w:snapToGrid/>
        <w:spacing w:before="0"/>
        <w:ind w:lef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比赛过程中，选手们展现出了高超的棋艺和良好的竞技风范。他们尊重对手，遵守比赛规则，无论输赢，都保持着平和的心态。有的选手在局势不利的情况下，依然不放弃，顽强拼搏，展现出了坚韧不拔的毅力；有的选手则在优势明显的情况下，不骄不躁，稳扎稳打，展现出了成熟稳重的气质。</w:t>
      </w:r>
    </w:p>
    <w:p>
      <w:pPr>
        <w:pStyle w:val="2"/>
        <w:keepNext w:val="0"/>
        <w:keepLines w:val="0"/>
        <w:pageBreakBefore w:val="0"/>
        <w:widowControl w:val="0"/>
        <w:kinsoku/>
        <w:wordWrap/>
        <w:overflowPunct/>
        <w:topLinePunct w:val="0"/>
        <w:autoSpaceDE/>
        <w:autoSpaceDN/>
        <w:bidi w:val="0"/>
        <w:adjustRightInd/>
        <w:snapToGrid/>
        <w:spacing w:before="0"/>
        <w:ind w:lef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除了参赛选手们的精彩表现，现场的观众们也为这场大赛增添了不少色彩。他们围在棋盘周围，为选手们加油助威，不时发出阵阵赞叹声。有的观众还在比赛间隙与选手们交流棋艺，分享自己的心得体会。整个比赛现场充满了欢声笑语，洋溢着</w:t>
      </w:r>
    </w:p>
    <w:p>
      <w:pPr>
        <w:pStyle w:val="10"/>
        <w:jc w:val="center"/>
      </w:pPr>
      <w:r>
        <w:rPr>
          <w:rFonts w:ascii="宋体" w:hAnsi="宋体" w:eastAsia="宋体" w:cs="宋体"/>
          <w:sz w:val="24"/>
          <w:szCs w:val="24"/>
        </w:rPr>
        <w:drawing>
          <wp:anchor distT="0" distB="0" distL="114300" distR="114300" simplePos="0" relativeHeight="251685888" behindDoc="0" locked="0" layoutInCell="1" allowOverlap="1">
            <wp:simplePos x="0" y="0"/>
            <wp:positionH relativeFrom="column">
              <wp:posOffset>1162050</wp:posOffset>
            </wp:positionH>
            <wp:positionV relativeFrom="paragraph">
              <wp:posOffset>89535</wp:posOffset>
            </wp:positionV>
            <wp:extent cx="2764155" cy="1794510"/>
            <wp:effectExtent l="0" t="0" r="9525" b="3810"/>
            <wp:wrapTopAndBottom/>
            <wp:docPr id="4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IMG_256"/>
                    <pic:cNvPicPr>
                      <a:picLocks noChangeAspect="1"/>
                    </pic:cNvPicPr>
                  </pic:nvPicPr>
                  <pic:blipFill>
                    <a:blip r:embed="rId58"/>
                    <a:srcRect l="72" b="13511"/>
                    <a:stretch>
                      <a:fillRect/>
                    </a:stretch>
                  </pic:blipFill>
                  <pic:spPr>
                    <a:xfrm>
                      <a:off x="0" y="0"/>
                      <a:ext cx="2764155" cy="1794510"/>
                    </a:xfrm>
                    <a:prstGeom prst="rect">
                      <a:avLst/>
                    </a:prstGeom>
                    <a:noFill/>
                    <a:ln w="9525">
                      <a:noFill/>
                    </a:ln>
                  </pic:spPr>
                </pic:pic>
              </a:graphicData>
            </a:graphic>
          </wp:anchor>
        </w:drawing>
      </w:r>
      <w:r>
        <w:t xml:space="preserve">图 </w:t>
      </w:r>
      <w:r>
        <w:fldChar w:fldCharType="begin"/>
      </w:r>
      <w:r>
        <w:instrText xml:space="preserve"> SEQ 图 \* ARABIC </w:instrText>
      </w:r>
      <w:r>
        <w:fldChar w:fldCharType="separate"/>
      </w:r>
      <w:r>
        <w:t>21</w:t>
      </w:r>
      <w:r>
        <w:fldChar w:fldCharType="end"/>
      </w:r>
      <w:bookmarkStart w:id="114" w:name="_Toc24702"/>
      <w:r>
        <w:t xml:space="preserve">  老年大学象棋大赛获奖者</w:t>
      </w:r>
      <w:bookmarkEnd w:id="114"/>
    </w:p>
    <w:p>
      <w:pPr>
        <w:pStyle w:val="2"/>
        <w:keepNext w:val="0"/>
        <w:keepLines w:val="0"/>
        <w:pageBreakBefore w:val="0"/>
        <w:widowControl w:val="0"/>
        <w:kinsoku/>
        <w:wordWrap/>
        <w:overflowPunct/>
        <w:topLinePunct w:val="0"/>
        <w:autoSpaceDE/>
        <w:autoSpaceDN/>
        <w:bidi w:val="0"/>
        <w:adjustRightInd/>
        <w:snapToGrid/>
        <w:spacing w:before="0"/>
        <w:ind w:left="0" w:leftChars="0" w:firstLine="0" w:firstLineChars="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浓浓的和谐氛围。</w:t>
      </w:r>
    </w:p>
    <w:p>
      <w:pPr>
        <w:pStyle w:val="2"/>
        <w:keepNext w:val="0"/>
        <w:keepLines w:val="0"/>
        <w:pageBreakBefore w:val="0"/>
        <w:widowControl w:val="0"/>
        <w:kinsoku/>
        <w:wordWrap/>
        <w:overflowPunct/>
        <w:topLinePunct w:val="0"/>
        <w:autoSpaceDE/>
        <w:autoSpaceDN/>
        <w:bidi w:val="0"/>
        <w:adjustRightInd/>
        <w:snapToGrid/>
        <w:spacing w:before="0"/>
        <w:ind w:lef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经过一天的激烈角逐，象棋大赛圆满落下帷幕。在这场大赛中，老年朋友们不仅收获了荣誉和奖品，更重要的是，他们收获了友谊和快乐，为他们的晚年生活留下了一段美好的回忆。</w:t>
      </w:r>
    </w:p>
    <w:p>
      <w:pPr>
        <w:pStyle w:val="5"/>
        <w:keepNext/>
        <w:keepLines/>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left"/>
        <w:textAlignment w:val="auto"/>
        <w:outlineLvl w:val="0"/>
        <w:rPr>
          <w:rFonts w:hint="eastAsia"/>
          <w:b w:val="0"/>
          <w:bCs/>
          <w:lang w:val="en-US" w:eastAsia="zh-CN"/>
        </w:rPr>
      </w:pPr>
      <w:bookmarkStart w:id="115" w:name="_Toc22022"/>
      <w:r>
        <w:rPr>
          <w:rFonts w:hint="eastAsia"/>
          <w:b w:val="0"/>
          <w:bCs/>
          <w:lang w:val="en-US" w:eastAsia="zh-CN"/>
        </w:rPr>
        <w:fldChar w:fldCharType="begin"/>
      </w:r>
      <w:r>
        <w:rPr>
          <w:rFonts w:hint="eastAsia"/>
          <w:b w:val="0"/>
          <w:bCs/>
          <w:lang w:val="en-US" w:eastAsia="zh-CN"/>
        </w:rPr>
        <w:instrText xml:space="preserve"> HYPERLINK \l _Toc1635 </w:instrText>
      </w:r>
      <w:r>
        <w:rPr>
          <w:rFonts w:hint="eastAsia"/>
          <w:b w:val="0"/>
          <w:bCs/>
          <w:lang w:val="en-US" w:eastAsia="zh-CN"/>
        </w:rPr>
        <w:fldChar w:fldCharType="separate"/>
      </w:r>
      <w:r>
        <w:rPr>
          <w:rFonts w:hint="eastAsia"/>
          <w:b w:val="0"/>
          <w:bCs/>
          <w:lang w:val="en-US" w:eastAsia="zh-CN"/>
        </w:rPr>
        <w:t>五、产教融合</w:t>
      </w:r>
      <w:r>
        <w:rPr>
          <w:rFonts w:hint="eastAsia"/>
          <w:b w:val="0"/>
          <w:bCs/>
          <w:lang w:val="en-US" w:eastAsia="zh-CN"/>
        </w:rPr>
        <w:fldChar w:fldCharType="end"/>
      </w:r>
      <w:bookmarkEnd w:id="115"/>
    </w:p>
    <w:p>
      <w:pPr>
        <w:keepNext w:val="0"/>
        <w:keepLines w:val="0"/>
        <w:pageBreakBefore w:val="0"/>
        <w:widowControl w:val="0"/>
        <w:kinsoku/>
        <w:wordWrap/>
        <w:overflowPunct/>
        <w:topLinePunct w:val="0"/>
        <w:autoSpaceDE/>
        <w:autoSpaceDN/>
        <w:bidi w:val="0"/>
        <w:adjustRightInd/>
        <w:snapToGrid/>
        <w:spacing w:line="560" w:lineRule="exact"/>
        <w:ind w:right="0" w:rightChars="0" w:firstLine="320" w:firstLineChars="100"/>
        <w:jc w:val="left"/>
        <w:textAlignment w:val="auto"/>
        <w:outlineLvl w:val="1"/>
        <w:rPr>
          <w:rFonts w:hint="eastAsia" w:ascii="楷体" w:hAnsi="楷体" w:eastAsia="楷体" w:cs="楷体"/>
          <w:b w:val="0"/>
          <w:bCs/>
          <w:kern w:val="2"/>
          <w:sz w:val="32"/>
          <w:szCs w:val="22"/>
          <w:lang w:val="en-US" w:eastAsia="zh-CN" w:bidi="ar-SA"/>
        </w:rPr>
      </w:pPr>
      <w:bookmarkStart w:id="116" w:name="_Toc21103"/>
      <w:r>
        <w:rPr>
          <w:rFonts w:hint="eastAsia" w:ascii="楷体" w:hAnsi="楷体" w:eastAsia="楷体" w:cs="楷体"/>
          <w:b w:val="0"/>
          <w:bCs/>
          <w:kern w:val="2"/>
          <w:sz w:val="32"/>
          <w:szCs w:val="22"/>
          <w:lang w:val="en-US" w:eastAsia="zh-CN" w:bidi="ar-SA"/>
        </w:rPr>
        <w:t>（一）体制机制</w:t>
      </w:r>
      <w:bookmarkEnd w:id="116"/>
    </w:p>
    <w:p>
      <w:pPr>
        <w:pStyle w:val="2"/>
        <w:keepNext w:val="0"/>
        <w:keepLines w:val="0"/>
        <w:pageBreakBefore w:val="0"/>
        <w:widowControl w:val="0"/>
        <w:kinsoku/>
        <w:wordWrap/>
        <w:overflowPunct/>
        <w:topLinePunct w:val="0"/>
        <w:autoSpaceDE/>
        <w:autoSpaceDN/>
        <w:bidi w:val="0"/>
        <w:adjustRightInd/>
        <w:snapToGrid/>
        <w:spacing w:before="0"/>
        <w:ind w:lef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该校善于总结实习实训中发现问题，积极展开研讨，研究对策，通过调整实习实训制度，促进工作进一步开展。修订了《涿鹿县职教中心校外实训管理制度》、《涿鹿县职业技术教育中心学生实习保险制度》。增加了校企办工作制度内容，规定每学期至少外出观摩两次兄弟院校发展现状，并调研合作企业的发展需要和学生实习满意度。校企合作内涵增加了宽度和深度，为该校师生提高专业素养提供了更好的条件。</w:t>
      </w:r>
    </w:p>
    <w:p>
      <w:pPr>
        <w:spacing w:line="560" w:lineRule="exact"/>
        <w:ind w:firstLine="320" w:firstLineChars="100"/>
        <w:outlineLvl w:val="1"/>
        <w:rPr>
          <w:rFonts w:hint="eastAsia" w:ascii="楷体_GB2312" w:hAnsi="楷体" w:eastAsia="楷体_GB2312" w:cs="楷体"/>
          <w:b/>
          <w:bCs/>
          <w:kern w:val="0"/>
          <w:sz w:val="32"/>
          <w:szCs w:val="28"/>
        </w:rPr>
      </w:pPr>
      <w:bookmarkStart w:id="117" w:name="_Toc28803"/>
      <w:r>
        <w:rPr>
          <w:rFonts w:hint="eastAsia" w:ascii="楷体" w:hAnsi="楷体" w:eastAsia="楷体" w:cs="楷体"/>
          <w:b w:val="0"/>
          <w:bCs/>
          <w:kern w:val="2"/>
          <w:sz w:val="32"/>
          <w:szCs w:val="22"/>
          <w:lang w:val="en-US" w:eastAsia="zh-CN" w:bidi="ar-SA"/>
        </w:rPr>
        <w:t>（二）实习实训</w:t>
      </w:r>
      <w:bookmarkEnd w:id="117"/>
      <w:r>
        <w:rPr>
          <w:rFonts w:hint="eastAsia" w:ascii="楷体" w:hAnsi="楷体" w:eastAsia="楷体" w:cs="楷体"/>
          <w:b w:val="0"/>
          <w:bCs/>
          <w:kern w:val="2"/>
          <w:sz w:val="32"/>
          <w:szCs w:val="22"/>
          <w:lang w:val="en-US" w:eastAsia="zh-CN" w:bidi="ar-SA"/>
        </w:rPr>
        <w:t xml:space="preserve">  </w:t>
      </w:r>
      <w:r>
        <w:rPr>
          <w:rFonts w:hint="eastAsia" w:ascii="楷体_GB2312" w:hAnsi="仿宋" w:eastAsia="楷体_GB2312" w:cs="仿宋"/>
          <w:sz w:val="32"/>
          <w:szCs w:val="32"/>
        </w:rPr>
        <w:t xml:space="preserve">  </w:t>
      </w:r>
      <w:r>
        <w:rPr>
          <w:rFonts w:hint="eastAsia" w:ascii="楷体_GB2312" w:hAnsi="楷体" w:eastAsia="楷体_GB2312" w:cs="楷体"/>
          <w:b/>
          <w:bCs/>
          <w:kern w:val="0"/>
          <w:sz w:val="32"/>
          <w:szCs w:val="28"/>
        </w:rPr>
        <w:t xml:space="preserve">   </w:t>
      </w:r>
    </w:p>
    <w:p>
      <w:pPr>
        <w:pStyle w:val="2"/>
        <w:keepNext w:val="0"/>
        <w:keepLines w:val="0"/>
        <w:pageBreakBefore w:val="0"/>
        <w:widowControl w:val="0"/>
        <w:kinsoku/>
        <w:wordWrap/>
        <w:overflowPunct/>
        <w:topLinePunct w:val="0"/>
        <w:autoSpaceDE/>
        <w:autoSpaceDN/>
        <w:bidi w:val="0"/>
        <w:adjustRightInd/>
        <w:snapToGrid/>
        <w:spacing w:before="0"/>
        <w:ind w:left="0"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该校严格执行《中等职业学校学生实习管理规定》、《涿鹿县职教中心校外实训管理制度》，修订了《涿鹿县职业技术教育中心学生实习保险制度》，明确带队教师和企业责任，将</w:t>
      </w:r>
    </w:p>
    <w:p>
      <w:pPr>
        <w:pStyle w:val="10"/>
        <w:jc w:val="center"/>
      </w:pPr>
      <w:r>
        <w:drawing>
          <wp:anchor distT="0" distB="0" distL="114300" distR="114300" simplePos="0" relativeHeight="251686912" behindDoc="0" locked="0" layoutInCell="1" allowOverlap="1">
            <wp:simplePos x="0" y="0"/>
            <wp:positionH relativeFrom="column">
              <wp:posOffset>650240</wp:posOffset>
            </wp:positionH>
            <wp:positionV relativeFrom="paragraph">
              <wp:posOffset>211455</wp:posOffset>
            </wp:positionV>
            <wp:extent cx="1846580" cy="1951990"/>
            <wp:effectExtent l="0" t="0" r="12700" b="13970"/>
            <wp:wrapTopAndBottom/>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59"/>
                    <a:stretch>
                      <a:fillRect/>
                    </a:stretch>
                  </pic:blipFill>
                  <pic:spPr>
                    <a:xfrm>
                      <a:off x="0" y="0"/>
                      <a:ext cx="1846580" cy="1951990"/>
                    </a:xfrm>
                    <a:prstGeom prst="rect">
                      <a:avLst/>
                    </a:prstGeom>
                    <a:noFill/>
                    <a:ln>
                      <a:noFill/>
                    </a:ln>
                  </pic:spPr>
                </pic:pic>
              </a:graphicData>
            </a:graphic>
          </wp:anchor>
        </w:drawing>
      </w:r>
      <w:r>
        <w:drawing>
          <wp:anchor distT="0" distB="0" distL="114300" distR="114300" simplePos="0" relativeHeight="251687936" behindDoc="0" locked="0" layoutInCell="1" allowOverlap="1">
            <wp:simplePos x="0" y="0"/>
            <wp:positionH relativeFrom="column">
              <wp:posOffset>2807970</wp:posOffset>
            </wp:positionH>
            <wp:positionV relativeFrom="paragraph">
              <wp:posOffset>92710</wp:posOffset>
            </wp:positionV>
            <wp:extent cx="1823720" cy="1946275"/>
            <wp:effectExtent l="0" t="0" r="5080" b="4445"/>
            <wp:wrapTopAndBottom/>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60"/>
                    <a:stretch>
                      <a:fillRect/>
                    </a:stretch>
                  </pic:blipFill>
                  <pic:spPr>
                    <a:xfrm>
                      <a:off x="0" y="0"/>
                      <a:ext cx="1823720" cy="1946275"/>
                    </a:xfrm>
                    <a:prstGeom prst="rect">
                      <a:avLst/>
                    </a:prstGeom>
                    <a:noFill/>
                    <a:ln>
                      <a:noFill/>
                    </a:ln>
                  </pic:spPr>
                </pic:pic>
              </a:graphicData>
            </a:graphic>
          </wp:anchor>
        </w:drawing>
      </w:r>
      <w:r>
        <w:t xml:space="preserve">图 </w:t>
      </w:r>
      <w:r>
        <w:fldChar w:fldCharType="begin"/>
      </w:r>
      <w:r>
        <w:instrText xml:space="preserve"> SEQ 图 \* ARABIC </w:instrText>
      </w:r>
      <w:r>
        <w:fldChar w:fldCharType="separate"/>
      </w:r>
      <w:r>
        <w:t>22</w:t>
      </w:r>
      <w:r>
        <w:fldChar w:fldCharType="end"/>
      </w:r>
      <w:bookmarkStart w:id="118" w:name="_Toc15357"/>
      <w:r>
        <w:t xml:space="preserve">    实习实训制度</w:t>
      </w:r>
      <w:bookmarkEnd w:id="118"/>
    </w:p>
    <w:p>
      <w:pPr>
        <w:pStyle w:val="2"/>
        <w:keepNext w:val="0"/>
        <w:keepLines w:val="0"/>
        <w:pageBreakBefore w:val="0"/>
        <w:widowControl w:val="0"/>
        <w:kinsoku/>
        <w:wordWrap/>
        <w:overflowPunct/>
        <w:topLinePunct w:val="0"/>
        <w:autoSpaceDE/>
        <w:autoSpaceDN/>
        <w:bidi w:val="0"/>
        <w:adjustRightInd/>
        <w:snapToGrid/>
        <w:spacing w:before="0"/>
        <w:ind w:left="0" w:leftChars="0" w:firstLine="0" w:firstLineChars="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学生实习内容与所学专业技能紧密结合，合理安排作息，切实保护学生的安全和合法权益。 </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320" w:firstLineChars="100"/>
        <w:jc w:val="left"/>
        <w:textAlignment w:val="auto"/>
        <w:outlineLvl w:val="1"/>
        <w:rPr>
          <w:rFonts w:hint="default" w:ascii="楷体" w:hAnsi="楷体" w:eastAsia="楷体" w:cs="楷体"/>
          <w:b w:val="0"/>
          <w:bCs/>
          <w:kern w:val="2"/>
          <w:sz w:val="32"/>
          <w:szCs w:val="22"/>
          <w:lang w:val="en-US" w:eastAsia="zh-CN" w:bidi="ar-SA"/>
        </w:rPr>
      </w:pPr>
      <w:bookmarkStart w:id="119" w:name="_Toc27977"/>
      <w:r>
        <w:rPr>
          <w:rFonts w:hint="eastAsia" w:ascii="楷体" w:hAnsi="楷体" w:eastAsia="楷体" w:cs="楷体"/>
          <w:b w:val="0"/>
          <w:bCs/>
          <w:kern w:val="2"/>
          <w:sz w:val="32"/>
          <w:szCs w:val="22"/>
          <w:lang w:val="en-US" w:eastAsia="zh-CN" w:bidi="ar-SA"/>
        </w:rPr>
        <w:t>（三）校企合作现状</w:t>
      </w:r>
      <w:bookmarkEnd w:id="119"/>
    </w:p>
    <w:p>
      <w:pPr>
        <w:spacing w:line="560" w:lineRule="exact"/>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该校积极寻求机会，参与京津冀教育协同发展，与北京市延庆区职业学院共建该校汽车运用与维修专业，并共同举办汽修技能大赛；积极联合宣化科技职业学院、凯悦汽车大部件制造（张家口）有限公司申报河北省2+2+2中企高一体化人才培养项目获得河北省教育厅批准，并完成2023年招生任务；同年该校被评为河北省职业教育“2+2+2”贯通培养联盟理事单位；2024年该校与北京海玥文化传媒有限公司校企合作，成立“影视传媒表演订单班”，此次合作是该校在专业架构层面一次全新的尝试。</w:t>
      </w:r>
    </w:p>
    <w:p>
      <w:pPr>
        <w:adjustRightInd w:val="0"/>
        <w:snapToGrid w:val="0"/>
        <w:spacing w:line="540" w:lineRule="exact"/>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2023年涿鹿县职教中心被评为河北省职业教育“2+2+2”贯通培养联盟理事单位。</w:t>
      </w:r>
    </w:p>
    <w:p>
      <w:pPr>
        <w:keepNext w:val="0"/>
        <w:keepLines w:val="0"/>
        <w:pageBreakBefore w:val="0"/>
        <w:widowControl/>
        <w:suppressLineNumbers w:val="0"/>
        <w:kinsoku/>
        <w:wordWrap/>
        <w:overflowPunct/>
        <w:topLinePunct w:val="0"/>
        <w:autoSpaceDE/>
        <w:autoSpaceDN/>
        <w:bidi w:val="0"/>
        <w:adjustRightInd/>
        <w:snapToGrid/>
        <w:ind w:firstLine="482" w:firstLineChars="200"/>
        <w:jc w:val="left"/>
        <w:textAlignment w:val="auto"/>
        <w:outlineLvl w:val="9"/>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典型案例</w:t>
      </w:r>
      <w:r>
        <w:rPr>
          <w:rFonts w:hint="default" w:ascii="仿宋" w:hAnsi="仿宋" w:eastAsia="仿宋" w:cs="仿宋"/>
          <w:b/>
          <w:bCs/>
          <w:kern w:val="2"/>
          <w:sz w:val="24"/>
          <w:szCs w:val="24"/>
          <w:lang w:val="en-US" w:eastAsia="zh-CN" w:bidi="ar-SA"/>
        </w:rPr>
        <w:t>14</w:t>
      </w:r>
    </w:p>
    <w:p>
      <w:pPr>
        <w:adjustRightInd w:val="0"/>
        <w:snapToGrid w:val="0"/>
        <w:spacing w:line="540" w:lineRule="exact"/>
        <w:ind w:firstLine="640" w:firstLineChars="200"/>
        <w:jc w:val="center"/>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涿鹿县职教中心“海事服务与管理订单班”专业解析讲座、消防演练同频展开</w:t>
      </w:r>
    </w:p>
    <w:p>
      <w:pPr>
        <w:adjustRightInd w:val="0"/>
        <w:snapToGrid w:val="0"/>
        <w:spacing w:line="540" w:lineRule="exact"/>
        <w:ind w:firstLine="640" w:firstLineChars="20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为让同学们对自己所学专业和未来即将从事的专业领域工作有一个饱满而清晰的认知，2024 年 11 月 6 日，涿鹿县职教中心有幸邀请到天津格雷特国际船舶管理有限公司副总经理鲁霄、船长胡安泉来校为“海事服务与管理订单班”的同学们进行专业解析讲座，同时借助这个平台带领同学们进行业内消防演练。全体订单班学生受益匪浅。</w:t>
      </w:r>
    </w:p>
    <w:p>
      <w:pPr>
        <w:adjustRightInd w:val="0"/>
        <w:snapToGrid w:val="0"/>
        <w:spacing w:line="540" w:lineRule="exact"/>
        <w:ind w:firstLine="480" w:firstLineChars="200"/>
        <w:jc w:val="left"/>
        <w:rPr>
          <w:rFonts w:hint="eastAsia" w:ascii="仿宋" w:hAnsi="仿宋" w:eastAsia="仿宋" w:cs="仿宋"/>
          <w:kern w:val="2"/>
          <w:sz w:val="32"/>
          <w:szCs w:val="32"/>
          <w:lang w:val="en-US" w:eastAsia="zh-CN" w:bidi="ar-SA"/>
        </w:rPr>
      </w:pPr>
      <w:r>
        <w:rPr>
          <w:rFonts w:ascii="宋体" w:hAnsi="宋体" w:eastAsia="宋体" w:cs="宋体"/>
          <w:kern w:val="0"/>
          <w:sz w:val="24"/>
          <w:szCs w:val="24"/>
          <w:lang w:val="en-US" w:eastAsia="zh-CN" w:bidi="ar"/>
        </w:rPr>
        <w:drawing>
          <wp:anchor distT="0" distB="0" distL="114300" distR="114300" simplePos="0" relativeHeight="251701248" behindDoc="0" locked="0" layoutInCell="1" allowOverlap="1">
            <wp:simplePos x="0" y="0"/>
            <wp:positionH relativeFrom="column">
              <wp:posOffset>321945</wp:posOffset>
            </wp:positionH>
            <wp:positionV relativeFrom="paragraph">
              <wp:posOffset>127635</wp:posOffset>
            </wp:positionV>
            <wp:extent cx="5214620" cy="3410585"/>
            <wp:effectExtent l="0" t="0" r="12700" b="3175"/>
            <wp:wrapTopAndBottom/>
            <wp:docPr id="4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IMG_256"/>
                    <pic:cNvPicPr>
                      <a:picLocks noChangeAspect="1"/>
                    </pic:cNvPicPr>
                  </pic:nvPicPr>
                  <pic:blipFill>
                    <a:blip r:embed="rId61"/>
                    <a:stretch>
                      <a:fillRect/>
                    </a:stretch>
                  </pic:blipFill>
                  <pic:spPr>
                    <a:xfrm>
                      <a:off x="0" y="0"/>
                      <a:ext cx="5214620" cy="3410585"/>
                    </a:xfrm>
                    <a:prstGeom prst="rect">
                      <a:avLst/>
                    </a:prstGeom>
                    <a:noFill/>
                    <a:ln w="9525">
                      <a:noFill/>
                    </a:ln>
                  </pic:spPr>
                </pic:pic>
              </a:graphicData>
            </a:graphic>
          </wp:anchor>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0" w:firstLineChars="200"/>
        <w:jc w:val="center"/>
      </w:pPr>
      <w:r>
        <w:t xml:space="preserve">图 </w:t>
      </w:r>
      <w:r>
        <w:fldChar w:fldCharType="begin"/>
      </w:r>
      <w:r>
        <w:instrText xml:space="preserve"> SEQ 图 \* ARABIC </w:instrText>
      </w:r>
      <w:r>
        <w:fldChar w:fldCharType="separate"/>
      </w:r>
      <w:r>
        <w:t>23</w:t>
      </w:r>
      <w:r>
        <w:fldChar w:fldCharType="end"/>
      </w:r>
      <w:bookmarkStart w:id="120" w:name="_Toc27964"/>
      <w:r>
        <w:t xml:space="preserve">  专业解析讲座</w:t>
      </w:r>
      <w:bookmarkEnd w:id="120"/>
    </w:p>
    <w:p/>
    <w:p>
      <w:pPr>
        <w:pStyle w:val="3"/>
      </w:pPr>
    </w:p>
    <w:p>
      <w:pP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anchor distT="0" distB="0" distL="114300" distR="114300" simplePos="0" relativeHeight="251692032" behindDoc="0" locked="0" layoutInCell="1" allowOverlap="1">
            <wp:simplePos x="0" y="0"/>
            <wp:positionH relativeFrom="column">
              <wp:posOffset>100330</wp:posOffset>
            </wp:positionH>
            <wp:positionV relativeFrom="paragraph">
              <wp:posOffset>159385</wp:posOffset>
            </wp:positionV>
            <wp:extent cx="5214620" cy="2753360"/>
            <wp:effectExtent l="0" t="0" r="12700" b="5080"/>
            <wp:wrapTopAndBottom/>
            <wp:docPr id="4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descr="IMG_259"/>
                    <pic:cNvPicPr>
                      <a:picLocks noChangeAspect="1"/>
                    </pic:cNvPicPr>
                  </pic:nvPicPr>
                  <pic:blipFill>
                    <a:blip r:embed="rId62"/>
                    <a:stretch>
                      <a:fillRect/>
                    </a:stretch>
                  </pic:blipFill>
                  <pic:spPr>
                    <a:xfrm>
                      <a:off x="0" y="0"/>
                      <a:ext cx="5214620" cy="2753360"/>
                    </a:xfrm>
                    <a:prstGeom prst="rect">
                      <a:avLst/>
                    </a:prstGeom>
                    <a:noFill/>
                    <a:ln w="9525">
                      <a:noFill/>
                    </a:ln>
                  </pic:spPr>
                </pic:pic>
              </a:graphicData>
            </a:graphic>
          </wp:anchor>
        </w:drawing>
      </w:r>
    </w:p>
    <w:p>
      <w:pPr>
        <w:pStyle w:val="10"/>
        <w:jc w:val="center"/>
        <w:rPr>
          <w:lang w:val="en-US" w:eastAsia="zh-CN"/>
        </w:rPr>
      </w:pPr>
      <w:r>
        <w:t xml:space="preserve">图 </w:t>
      </w:r>
      <w:r>
        <w:fldChar w:fldCharType="begin"/>
      </w:r>
      <w:r>
        <w:instrText xml:space="preserve"> SEQ 图 \* ARABIC </w:instrText>
      </w:r>
      <w:r>
        <w:fldChar w:fldCharType="separate"/>
      </w:r>
      <w:r>
        <w:t>24</w:t>
      </w:r>
      <w:r>
        <w:fldChar w:fldCharType="end"/>
      </w:r>
      <w:bookmarkStart w:id="121" w:name="_Toc10480"/>
      <w:r>
        <w:t xml:space="preserve">  鲁经理讲解职业发展</w:t>
      </w:r>
      <w:bookmarkEnd w:id="121"/>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鲁霄副总经理从轮机工程、邮轮乘务等几个方向展开讲座，深入剖析了这些领域的职业发展前景、薪资待遇以及工作环境，为同学们勾勒出了一幅清晰的职业蓝图。鲁霄说，随着全球贸易的不断发展、航运业的持续繁荣，轮机工程专业人才需求日益增长。比如轮机员，负责船舶动力系统维护和管理，可以从初级晋升到高级，再到轮机长，职业发展路径清晰明确，前景广阔。同时，由于工作的专业性、复杂性以及在船舶运行中的重要性，轮机工程专业人才薪资待遇水平相对较高，且随着职位晋升和经验积累薪资还会逐年上升，福利待遇也较为丰厚。而邮轮乘务则是随着邮轮旅游业的蓬勃发展而成为当今社会备受青睐的一个新兴职业领域，该专业方向的毕业生可以选择在豪华邮轮上承担乘务员工作，为游客提供优质服务，可以从基层岗位逐步晋升到管理岗位如乘务长、部门经理等，同时，随</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着经验积累和专业技能提升，还可以在邮轮公司总部或其他相关领域寻求发展新的更好的发展机会。</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default" w:ascii="仿宋_GB2312" w:hAnsi="仿宋_GB2312" w:eastAsia="仿宋_GB2312" w:cs="仿宋_GB2312"/>
          <w:kern w:val="2"/>
          <w:sz w:val="32"/>
          <w:szCs w:val="32"/>
          <w:lang w:val="en-US" w:eastAsia="zh-CN" w:bidi="ar-SA"/>
        </w:rPr>
      </w:pPr>
      <w:r>
        <w:rPr>
          <w:rFonts w:hint="eastAsia" w:ascii="仿宋" w:hAnsi="仿宋" w:eastAsia="仿宋" w:cs="仿宋"/>
          <w:kern w:val="2"/>
          <w:sz w:val="32"/>
          <w:szCs w:val="32"/>
          <w:lang w:val="en-US" w:eastAsia="zh-CN" w:bidi="ar-SA"/>
        </w:rPr>
        <w:t>胡安泉船长承上启下，先是通过讲解自己任船长期间的工作日常和薪资待遇让同学们对前面鲁副总的讲座有更直观的认识，随后进入他在此次活动中要给同学们带来的主要话题——航运业消防安全知识普及。胡船长首先在室内从理论上为同学们详细介绍了消防服装的功能、消防水带的使用方法，并使用假人在工作台上为同学们演示了在事故中如何对“人”进行心肺功能复苏。随后大家一起来到室外进行消防实操演练，胡船长一边讲解要点一边操作，手把手教同学们灭火的步骤。同学们分组、轮流实践了如何用干粉灭火器进行灭火，亲身体验了专业消防工作的高严要求，品尝到了一份沉甸甸的职业责任感</w:t>
      </w:r>
      <w:r>
        <w:rPr>
          <w:rFonts w:hint="default" w:ascii="仿宋_GB2312" w:hAnsi="仿宋_GB2312" w:eastAsia="仿宋_GB2312" w:cs="仿宋_GB2312"/>
          <w:kern w:val="2"/>
          <w:sz w:val="32"/>
          <w:szCs w:val="32"/>
          <w:lang w:val="en-US" w:eastAsia="zh-CN" w:bidi="ar-SA"/>
        </w:rPr>
        <w:t xml:space="preserve">   </w:t>
      </w:r>
    </w:p>
    <w:p>
      <w:pPr>
        <w:pStyle w:val="1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anchor distT="0" distB="0" distL="114300" distR="114300" simplePos="0" relativeHeight="251693056" behindDoc="0" locked="0" layoutInCell="1" allowOverlap="1">
            <wp:simplePos x="0" y="0"/>
            <wp:positionH relativeFrom="column">
              <wp:posOffset>205740</wp:posOffset>
            </wp:positionH>
            <wp:positionV relativeFrom="paragraph">
              <wp:posOffset>46990</wp:posOffset>
            </wp:positionV>
            <wp:extent cx="5112385" cy="2927985"/>
            <wp:effectExtent l="0" t="0" r="8255" b="13335"/>
            <wp:wrapTopAndBottom/>
            <wp:docPr id="4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descr="IMG_261"/>
                    <pic:cNvPicPr>
                      <a:picLocks noChangeAspect="1"/>
                    </pic:cNvPicPr>
                  </pic:nvPicPr>
                  <pic:blipFill>
                    <a:blip r:embed="rId63"/>
                    <a:stretch>
                      <a:fillRect/>
                    </a:stretch>
                  </pic:blipFill>
                  <pic:spPr>
                    <a:xfrm>
                      <a:off x="0" y="0"/>
                      <a:ext cx="5112385" cy="2927985"/>
                    </a:xfrm>
                    <a:prstGeom prst="rect">
                      <a:avLst/>
                    </a:prstGeom>
                    <a:noFill/>
                    <a:ln w="9525">
                      <a:noFill/>
                    </a:ln>
                  </pic:spPr>
                </pic:pic>
              </a:graphicData>
            </a:graphic>
          </wp:anchor>
        </w:drawing>
      </w:r>
    </w:p>
    <w:p>
      <w:pPr>
        <w:pStyle w:val="10"/>
        <w:jc w:val="center"/>
        <w:rPr>
          <w:lang w:val="en-US" w:eastAsia="zh-CN"/>
        </w:rPr>
      </w:pPr>
      <w:r>
        <w:t xml:space="preserve">图 </w:t>
      </w:r>
      <w:r>
        <w:fldChar w:fldCharType="begin"/>
      </w:r>
      <w:r>
        <w:instrText xml:space="preserve"> SEQ 图 \* ARABIC </w:instrText>
      </w:r>
      <w:r>
        <w:fldChar w:fldCharType="separate"/>
      </w:r>
      <w:r>
        <w:t>25</w:t>
      </w:r>
      <w:r>
        <w:fldChar w:fldCharType="end"/>
      </w:r>
      <w:bookmarkStart w:id="122" w:name="_Toc17238"/>
      <w:r>
        <w:t xml:space="preserve"> 急救实训</w:t>
      </w:r>
      <w:bookmarkEnd w:id="122"/>
    </w:p>
    <w:p>
      <w:pPr>
        <w:pStyle w:val="10"/>
        <w:jc w:val="center"/>
        <w:rPr>
          <w:rFonts w:hint="eastAsia" w:eastAsia="黑体"/>
          <w:lang w:eastAsia="zh-CN"/>
        </w:rPr>
      </w:pP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 xml:space="preserve">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158105" cy="2541270"/>
            <wp:effectExtent l="0" t="0" r="8255" b="3810"/>
            <wp:docPr id="2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IMG_263"/>
                    <pic:cNvPicPr>
                      <a:picLocks noChangeAspect="1"/>
                    </pic:cNvPicPr>
                  </pic:nvPicPr>
                  <pic:blipFill>
                    <a:blip r:embed="rId64"/>
                    <a:stretch>
                      <a:fillRect/>
                    </a:stretch>
                  </pic:blipFill>
                  <pic:spPr>
                    <a:xfrm>
                      <a:off x="0" y="0"/>
                      <a:ext cx="5158105" cy="254127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ascii="宋体" w:hAnsi="宋体" w:eastAsia="宋体" w:cs="宋体"/>
          <w:kern w:val="0"/>
          <w:sz w:val="24"/>
          <w:szCs w:val="24"/>
          <w:lang w:val="en-US" w:eastAsia="zh-CN" w:bidi="ar"/>
        </w:rPr>
      </w:pPr>
      <w:r>
        <w:t xml:space="preserve">图 </w:t>
      </w:r>
      <w:r>
        <w:fldChar w:fldCharType="begin"/>
      </w:r>
      <w:r>
        <w:instrText xml:space="preserve"> SEQ 图 \* ARABIC </w:instrText>
      </w:r>
      <w:r>
        <w:fldChar w:fldCharType="separate"/>
      </w:r>
      <w:r>
        <w:t>26</w:t>
      </w:r>
      <w:r>
        <w:fldChar w:fldCharType="end"/>
      </w:r>
      <w:bookmarkStart w:id="123" w:name="_Toc6915"/>
      <w:r>
        <w:t xml:space="preserve">  消防实训</w:t>
      </w:r>
      <w:bookmarkEnd w:id="123"/>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此次同频两项活动中，订单班的孩子们对自己未来将要从事的“海事”工作有了一个高清的认识，其职业理想得到固化，职业体验得到提升，学习信念得到强化，安全意识、消防技能和应急处置能力得到巩固和优化。更重要的是，这样的活动能够赋能涿鹿职教中心相关专业的建设稳步向前，为学校高质量发展增添新质生产力。</w:t>
      </w:r>
    </w:p>
    <w:p>
      <w:pPr>
        <w:keepNext w:val="0"/>
        <w:keepLines w:val="0"/>
        <w:pageBreakBefore w:val="0"/>
        <w:widowControl/>
        <w:suppressLineNumbers w:val="0"/>
        <w:kinsoku/>
        <w:wordWrap/>
        <w:overflowPunct/>
        <w:topLinePunct w:val="0"/>
        <w:autoSpaceDE/>
        <w:autoSpaceDN/>
        <w:bidi w:val="0"/>
        <w:adjustRightInd/>
        <w:snapToGrid/>
        <w:ind w:firstLine="482" w:firstLineChars="200"/>
        <w:jc w:val="left"/>
        <w:textAlignment w:val="auto"/>
        <w:outlineLvl w:val="9"/>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典型案例</w:t>
      </w:r>
      <w:r>
        <w:rPr>
          <w:rFonts w:hint="default" w:ascii="仿宋" w:hAnsi="仿宋" w:eastAsia="仿宋" w:cs="仿宋"/>
          <w:b/>
          <w:bCs/>
          <w:kern w:val="2"/>
          <w:sz w:val="24"/>
          <w:szCs w:val="24"/>
          <w:lang w:val="en-US" w:eastAsia="zh-CN" w:bidi="ar-SA"/>
        </w:rPr>
        <w:t>15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jc w:val="center"/>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涿鹿县职教中心•北京海玥文化传媒有限公司 举行“影视传媒表演订单班”揭牌开班仪式</w:t>
      </w:r>
    </w:p>
    <w:p>
      <w:pPr>
        <w:pStyle w:val="2"/>
        <w:ind w:left="0" w:leftChars="0" w:firstLine="640" w:firstLineChars="200"/>
        <w:rPr>
          <w:rFonts w:hint="default"/>
          <w:lang w:val="en-US" w:eastAsia="zh-CN"/>
        </w:rPr>
      </w:pPr>
      <w:r>
        <w:rPr>
          <w:rFonts w:hint="default" w:ascii="仿宋" w:hAnsi="仿宋" w:eastAsia="仿宋" w:cs="仿宋"/>
          <w:kern w:val="2"/>
          <w:sz w:val="32"/>
          <w:szCs w:val="32"/>
          <w:lang w:val="en-US" w:eastAsia="zh-CN" w:bidi="ar-SA"/>
        </w:rPr>
        <w:t>2024年金秋时节，涿鹿县职教中心与北京海玥文化传媒有限公司校企合作正式结成硕果。9月25日下午，双方旗下的“影视传媒表演订单班”揭牌、开班仪式隆重举行。企方董事长董震、校方校长孟庆泉共同揭牌、致辞。企方副总导演王焱、艺术总监郭中友、营销总监王啟荣，校方校务委员王爱平、专业负责人王江敏、团委书记王星亮参加仪式。各位领导与家长代表、任课教师及订单班全体学生一起见证这一盛事。</w:t>
      </w:r>
    </w:p>
    <w:p>
      <w:pPr>
        <w:pStyle w:val="3"/>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213985" cy="3278505"/>
            <wp:effectExtent l="0" t="0" r="13335" b="13335"/>
            <wp:docPr id="52"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descr="IMG_256"/>
                    <pic:cNvPicPr>
                      <a:picLocks noChangeAspect="1"/>
                    </pic:cNvPicPr>
                  </pic:nvPicPr>
                  <pic:blipFill>
                    <a:blip r:embed="rId65"/>
                    <a:stretch>
                      <a:fillRect/>
                    </a:stretch>
                  </pic:blipFill>
                  <pic:spPr>
                    <a:xfrm>
                      <a:off x="0" y="0"/>
                      <a:ext cx="5213985" cy="3278505"/>
                    </a:xfrm>
                    <a:prstGeom prst="rect">
                      <a:avLst/>
                    </a:prstGeom>
                    <a:noFill/>
                    <a:ln w="9525">
                      <a:noFill/>
                    </a:ln>
                  </pic:spPr>
                </pic:pic>
              </a:graphicData>
            </a:graphic>
          </wp:inline>
        </w:drawing>
      </w:r>
    </w:p>
    <w:p>
      <w:pPr>
        <w:pStyle w:val="10"/>
        <w:jc w:val="center"/>
      </w:pPr>
      <w:r>
        <w:t xml:space="preserve">图 </w:t>
      </w:r>
      <w:r>
        <w:fldChar w:fldCharType="begin"/>
      </w:r>
      <w:r>
        <w:instrText xml:space="preserve"> SEQ 图 \* ARABIC </w:instrText>
      </w:r>
      <w:r>
        <w:fldChar w:fldCharType="separate"/>
      </w:r>
      <w:r>
        <w:t>27</w:t>
      </w:r>
      <w:r>
        <w:fldChar w:fldCharType="end"/>
      </w:r>
      <w:bookmarkStart w:id="124" w:name="_Toc20282"/>
      <w:r>
        <w:t xml:space="preserve">  影视传媒合影</w:t>
      </w:r>
      <w:bookmarkEnd w:id="124"/>
    </w:p>
    <w:p>
      <w:pPr>
        <w:pStyle w:val="2"/>
        <w:ind w:left="0" w:leftChars="0" w:firstLine="640" w:firstLineChars="200"/>
        <w:rPr>
          <w:rFonts w:hint="default" w:ascii="仿宋" w:hAnsi="仿宋" w:eastAsia="仿宋" w:cs="仿宋"/>
          <w:kern w:val="2"/>
          <w:sz w:val="32"/>
          <w:szCs w:val="32"/>
          <w:lang w:val="en-US" w:eastAsia="zh-CN" w:bidi="ar-SA"/>
        </w:rPr>
      </w:pPr>
      <w:r>
        <w:rPr>
          <w:rFonts w:hint="default"/>
          <w:lang w:val="en-US" w:eastAsia="zh-CN"/>
        </w:rPr>
        <w:t>仪</w:t>
      </w:r>
      <w:r>
        <w:rPr>
          <w:rFonts w:hint="default" w:ascii="仿宋" w:hAnsi="仿宋" w:eastAsia="仿宋" w:cs="仿宋"/>
          <w:kern w:val="2"/>
          <w:sz w:val="32"/>
          <w:szCs w:val="32"/>
          <w:lang w:val="en-US" w:eastAsia="zh-CN" w:bidi="ar-SA"/>
        </w:rPr>
        <w:t>式上，孟庆泉对董震一行的到来表示欢迎，向订单班学生表示热烈祝贺。孟庆泉介绍了涿鹿职教中心近年来的发展方向和成果，阐述了学校深入开展校企融合发展的决心与策略，表达了此次与北京海玥传媒开展合作的美好期待。孟庆泉要求同学们，一定要珍惜学习机会，积极参与实践活动，认真遵守学校和企业在各个施教环节中的管理与规定，刻苦努力，勇于追求，成就人生。</w:t>
      </w:r>
    </w:p>
    <w:p>
      <w:pPr>
        <w:keepNext w:val="0"/>
        <w:keepLines w:val="0"/>
        <w:widowControl/>
        <w:suppressLineNumbers w:val="0"/>
        <w:ind w:firstLine="640" w:firstLineChars="200"/>
        <w:jc w:val="left"/>
        <w:rPr>
          <w:rFonts w:hint="default" w:ascii="仿宋" w:hAnsi="Calibri" w:eastAsia="仿宋" w:cs="仿宋"/>
          <w:kern w:val="2"/>
          <w:sz w:val="32"/>
          <w:szCs w:val="32"/>
          <w:lang w:val="en-US" w:eastAsia="zh-CN" w:bidi="zh-CN"/>
        </w:rPr>
      </w:pPr>
      <w:r>
        <w:rPr>
          <w:rFonts w:hint="default" w:ascii="仿宋" w:hAnsi="Calibri" w:eastAsia="仿宋" w:cs="仿宋"/>
          <w:kern w:val="2"/>
          <w:sz w:val="32"/>
          <w:szCs w:val="32"/>
          <w:lang w:val="en-US" w:eastAsia="zh-CN" w:bidi="zh-CN"/>
        </w:rPr>
        <w:t>董震介绍了订单班的成立背景及培养模式，表示与学校合作培养德才兼备的艺人是公司未来发展的重要战略规划，增加人才储备、提升艺人道德文化水平，改善娱乐行业从业风气是海玥文化传媒的目标与追求。公司将通过大师课、剧目创作、课外实践、“老带新”等多样化培养模式帮助学生成长为公司所需要的人才。董震希望学生们明确目标、珍惜机会、磨练技能、成就未来。</w:t>
      </w:r>
    </w:p>
    <w:p>
      <w:pPr>
        <w:keepNext w:val="0"/>
        <w:keepLines w:val="0"/>
        <w:widowControl/>
        <w:suppressLineNumbers w:val="0"/>
        <w:ind w:firstLine="640" w:firstLineChars="200"/>
        <w:jc w:val="left"/>
        <w:rPr>
          <w:rFonts w:hint="default" w:ascii="仿宋" w:hAnsi="Calibri" w:eastAsia="仿宋" w:cs="仿宋"/>
          <w:kern w:val="2"/>
          <w:sz w:val="32"/>
          <w:szCs w:val="32"/>
          <w:lang w:val="en-US" w:eastAsia="zh-CN" w:bidi="zh-CN"/>
        </w:rPr>
      </w:pPr>
      <w:r>
        <w:rPr>
          <w:rFonts w:hint="default" w:ascii="仿宋" w:hAnsi="Calibri" w:eastAsia="仿宋" w:cs="仿宋"/>
          <w:kern w:val="2"/>
          <w:sz w:val="32"/>
          <w:szCs w:val="32"/>
          <w:lang w:val="en-US" w:eastAsia="zh-CN" w:bidi="zh-CN"/>
        </w:rPr>
        <w:t>王焱介绍了海玥公司概况、业务范围、目前取得的成就以及公司未来规划中的影视作品，重申了订单班培养高素质艺术人才的设立初心，祝愿孩子们通过努力学有所成、成人成才。</w:t>
      </w:r>
    </w:p>
    <w:p>
      <w:pPr>
        <w:keepNext w:val="0"/>
        <w:keepLines w:val="0"/>
        <w:widowControl/>
        <w:suppressLineNumbers w:val="0"/>
        <w:ind w:firstLine="640" w:firstLineChars="200"/>
        <w:jc w:val="left"/>
        <w:rPr>
          <w:rFonts w:hint="eastAsia" w:ascii="仿宋" w:eastAsia="仿宋" w:cs="仿宋"/>
          <w:kern w:val="2"/>
          <w:sz w:val="32"/>
          <w:szCs w:val="32"/>
          <w:lang w:val="en-US" w:eastAsia="zh-CN" w:bidi="zh-CN"/>
        </w:rPr>
      </w:pPr>
      <w:r>
        <w:rPr>
          <w:rFonts w:hint="default" w:ascii="仿宋" w:hAnsi="Calibri" w:eastAsia="仿宋" w:cs="仿宋"/>
          <w:kern w:val="2"/>
          <w:sz w:val="32"/>
          <w:szCs w:val="32"/>
          <w:lang w:val="en-US" w:eastAsia="zh-CN" w:bidi="zh-CN"/>
        </w:rPr>
        <w:t>郭中友向大家分享了他年轻时出演校园青春剧的经历，希望孩子们能够通过在订单班的学习，成长为品学兼优、德艺双馨的传媒人</w:t>
      </w:r>
      <w:r>
        <w:rPr>
          <w:rFonts w:hint="eastAsia" w:ascii="仿宋" w:eastAsia="仿宋" w:cs="仿宋"/>
          <w:kern w:val="2"/>
          <w:sz w:val="32"/>
          <w:szCs w:val="32"/>
          <w:lang w:val="en-US" w:eastAsia="zh-CN" w:bidi="zh-CN"/>
        </w:rPr>
        <w:t>。</w:t>
      </w:r>
    </w:p>
    <w:p>
      <w:pPr>
        <w:pStyle w:val="10"/>
        <w:ind w:firstLine="400" w:firstLineChars="200"/>
        <w:jc w:val="both"/>
        <w:rPr>
          <w:rFonts w:hint="default" w:ascii="仿宋" w:hAnsi="Calibri" w:eastAsia="仿宋" w:cs="仿宋"/>
          <w:kern w:val="2"/>
          <w:sz w:val="32"/>
          <w:szCs w:val="32"/>
          <w:lang w:val="en-US" w:eastAsia="zh-CN" w:bidi="zh-CN"/>
        </w:rPr>
      </w:pPr>
      <w:r>
        <w:rPr>
          <w:rFonts w:hint="default"/>
          <w:lang w:val="en-US" w:bidi="ar-SA"/>
        </w:rPr>
        <w:t xml:space="preserve">  </w:t>
      </w:r>
      <w:r>
        <w:rPr>
          <w:rFonts w:hint="default" w:ascii="仿宋" w:hAnsi="Calibri" w:eastAsia="仿宋" w:cs="仿宋"/>
          <w:kern w:val="2"/>
          <w:sz w:val="32"/>
          <w:szCs w:val="32"/>
          <w:lang w:val="en-US" w:eastAsia="zh-CN" w:bidi="zh-CN"/>
        </w:rPr>
        <w:t>校企合作是学校高质量发展征程上非常重要的一个领域，也是一项长期且艰巨的任务。孟庆泉表示，此次涿鹿职教中心与北京海玥传媒有限公司的合作是涿鹿职教中心在专业架构层面一次全新的尝试，希望“影视传媒表演订单班”的开办，能够切实为有表演天赋、有从事影视领域工作愿望的孩子们打通就</w:t>
      </w:r>
    </w:p>
    <w:p>
      <w:pPr>
        <w:pStyle w:val="10"/>
        <w:jc w:val="center"/>
        <w:rPr>
          <w:lang w:val="en-US"/>
        </w:rPr>
      </w:pPr>
      <w:r>
        <w:rPr>
          <w:lang w:val="en-US" w:bidi="ar-SA"/>
        </w:rPr>
        <w:drawing>
          <wp:anchor distT="0" distB="0" distL="0" distR="0" simplePos="0" relativeHeight="251696128" behindDoc="0" locked="0" layoutInCell="1" allowOverlap="1">
            <wp:simplePos x="0" y="0"/>
            <wp:positionH relativeFrom="column">
              <wp:posOffset>389890</wp:posOffset>
            </wp:positionH>
            <wp:positionV relativeFrom="page">
              <wp:posOffset>6173470</wp:posOffset>
            </wp:positionV>
            <wp:extent cx="4834890" cy="2901950"/>
            <wp:effectExtent l="0" t="0" r="11430" b="8890"/>
            <wp:wrapTopAndBottom/>
            <wp:docPr id="5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1"/>
                    <pic:cNvPicPr>
                      <a:picLocks noChangeAspect="1" noChangeArrowheads="1"/>
                    </pic:cNvPicPr>
                  </pic:nvPicPr>
                  <pic:blipFill>
                    <a:blip r:embed="rId66" cstate="print"/>
                    <a:srcRect/>
                    <a:stretch>
                      <a:fillRect/>
                    </a:stretch>
                  </pic:blipFill>
                  <pic:spPr>
                    <a:xfrm>
                      <a:off x="0" y="0"/>
                      <a:ext cx="4834890" cy="2901950"/>
                    </a:xfrm>
                    <a:prstGeom prst="rect">
                      <a:avLst/>
                    </a:prstGeom>
                    <a:noFill/>
                    <a:ln w="9525">
                      <a:noFill/>
                      <a:miter lim="800000"/>
                      <a:headEnd/>
                      <a:tailEnd/>
                    </a:ln>
                  </pic:spPr>
                </pic:pic>
              </a:graphicData>
            </a:graphic>
          </wp:anchor>
        </w:drawing>
      </w:r>
      <w:r>
        <w:t xml:space="preserve">图 </w:t>
      </w:r>
      <w:r>
        <w:fldChar w:fldCharType="begin"/>
      </w:r>
      <w:r>
        <w:instrText xml:space="preserve"> SEQ 图 \* ARABIC </w:instrText>
      </w:r>
      <w:r>
        <w:fldChar w:fldCharType="separate"/>
      </w:r>
      <w:r>
        <w:t>28</w:t>
      </w:r>
      <w:r>
        <w:fldChar w:fldCharType="end"/>
      </w:r>
      <w:bookmarkStart w:id="125" w:name="_Toc17949"/>
      <w:r>
        <w:t xml:space="preserve">  汽修专业“2+2+2”贯通培养通过审批</w:t>
      </w:r>
      <w:bookmarkEnd w:id="125"/>
    </w:p>
    <w:p>
      <w:pPr>
        <w:pStyle w:val="10"/>
        <w:ind w:firstLine="640" w:firstLineChars="200"/>
        <w:jc w:val="both"/>
        <w:rPr>
          <w:rFonts w:hint="default" w:ascii="仿宋" w:hAnsi="Calibri" w:eastAsia="仿宋" w:cs="仿宋"/>
          <w:kern w:val="2"/>
          <w:sz w:val="32"/>
          <w:szCs w:val="32"/>
          <w:lang w:val="en-US" w:eastAsia="zh-CN" w:bidi="zh-CN"/>
        </w:rPr>
      </w:pPr>
    </w:p>
    <w:p>
      <w:pPr>
        <w:pStyle w:val="10"/>
        <w:jc w:val="both"/>
        <w:rPr>
          <w:rFonts w:hint="default" w:ascii="仿宋" w:hAnsi="Calibri" w:eastAsia="仿宋" w:cs="仿宋"/>
          <w:kern w:val="2"/>
          <w:sz w:val="32"/>
          <w:szCs w:val="32"/>
          <w:lang w:val="en-US" w:eastAsia="zh-CN" w:bidi="zh-CN"/>
        </w:rPr>
      </w:pPr>
      <w:r>
        <w:rPr>
          <w:rFonts w:hint="default" w:ascii="仿宋" w:hAnsi="Calibri" w:eastAsia="仿宋" w:cs="仿宋"/>
          <w:kern w:val="2"/>
          <w:sz w:val="32"/>
          <w:szCs w:val="32"/>
          <w:lang w:val="en-US" w:eastAsia="zh-CN" w:bidi="zh-CN"/>
        </w:rPr>
        <w:t>业、升学通道，能够进一步促进学校在当前形势下稳步前进、创新发展。</w:t>
      </w:r>
    </w:p>
    <w:p>
      <w:pPr>
        <w:adjustRightInd w:val="0"/>
        <w:snapToGrid w:val="0"/>
        <w:spacing w:line="540" w:lineRule="exact"/>
        <w:ind w:firstLine="640" w:firstLineChars="200"/>
        <w:rPr>
          <w:rFonts w:hint="default" w:ascii="仿宋" w:hAnsi="Calibri" w:eastAsia="仿宋" w:cs="仿宋"/>
          <w:kern w:val="2"/>
          <w:sz w:val="32"/>
          <w:szCs w:val="32"/>
          <w:lang w:val="en-US" w:eastAsia="zh-CN" w:bidi="zh-CN"/>
        </w:rPr>
      </w:pPr>
      <w:r>
        <w:rPr>
          <w:rFonts w:hint="eastAsia" w:ascii="仿宋" w:hAnsi="Calibri" w:eastAsia="仿宋" w:cs="仿宋"/>
          <w:kern w:val="2"/>
          <w:sz w:val="32"/>
          <w:szCs w:val="32"/>
          <w:lang w:val="en-US" w:eastAsia="zh-CN" w:bidi="zh-CN"/>
        </w:rPr>
        <w:t>2.</w:t>
      </w:r>
      <w:r>
        <w:rPr>
          <w:rFonts w:hint="default" w:ascii="仿宋" w:hAnsi="Calibri" w:eastAsia="仿宋" w:cs="仿宋"/>
          <w:kern w:val="2"/>
          <w:sz w:val="32"/>
          <w:szCs w:val="32"/>
          <w:lang w:val="en-US" w:eastAsia="zh-CN" w:bidi="zh-CN"/>
        </w:rPr>
        <w:t xml:space="preserve"> 202</w:t>
      </w:r>
      <w:r>
        <w:rPr>
          <w:rFonts w:hint="eastAsia" w:ascii="仿宋" w:hAnsi="Calibri" w:eastAsia="仿宋" w:cs="仿宋"/>
          <w:kern w:val="2"/>
          <w:sz w:val="32"/>
          <w:szCs w:val="32"/>
          <w:lang w:val="en-US" w:eastAsia="zh-CN" w:bidi="zh-CN"/>
        </w:rPr>
        <w:t>4年涿鹿县职教中心参与“全国智能新能源汽车行业产教融合共同体”成立大会，并成为全国智能新能源汽车行业产教融合共同体理事单位。</w:t>
      </w:r>
    </w:p>
    <w:p>
      <w:pPr>
        <w:pStyle w:val="3"/>
        <w:rPr>
          <w:lang w:val="en-US"/>
        </w:rPr>
      </w:pPr>
      <w:r>
        <w:rPr>
          <w:lang w:val="en-US" w:bidi="ar-SA"/>
        </w:rPr>
        <w:drawing>
          <wp:anchor distT="0" distB="0" distL="0" distR="0" simplePos="0" relativeHeight="251694080" behindDoc="0" locked="0" layoutInCell="1" allowOverlap="1">
            <wp:simplePos x="0" y="0"/>
            <wp:positionH relativeFrom="column">
              <wp:posOffset>811530</wp:posOffset>
            </wp:positionH>
            <wp:positionV relativeFrom="paragraph">
              <wp:posOffset>106045</wp:posOffset>
            </wp:positionV>
            <wp:extent cx="4349115" cy="2337435"/>
            <wp:effectExtent l="0" t="0" r="9525" b="9525"/>
            <wp:wrapTopAndBottom/>
            <wp:docPr id="59" name="图片 59" descr="C:\Users\Administrator\Documents\WeChat Files\wxid_blz7lsykq5z332\FileStorage\Temp\8899016cd591c06cefe5e4fff83dd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Administrator\Documents\WeChat Files\wxid_blz7lsykq5z332\FileStorage\Temp\8899016cd591c06cefe5e4fff83ddb0.jpg"/>
                    <pic:cNvPicPr>
                      <a:picLocks noChangeAspect="1" noChangeArrowheads="1"/>
                    </pic:cNvPicPr>
                  </pic:nvPicPr>
                  <pic:blipFill>
                    <a:blip r:embed="rId67" cstate="print"/>
                    <a:srcRect/>
                    <a:stretch>
                      <a:fillRect/>
                    </a:stretch>
                  </pic:blipFill>
                  <pic:spPr>
                    <a:xfrm>
                      <a:off x="0" y="0"/>
                      <a:ext cx="4349115" cy="2337435"/>
                    </a:xfrm>
                    <a:prstGeom prst="rect">
                      <a:avLst/>
                    </a:prstGeom>
                    <a:noFill/>
                    <a:ln w="9525">
                      <a:noFill/>
                      <a:miter lim="800000"/>
                      <a:headEnd/>
                      <a:tailEnd/>
                    </a:ln>
                  </pic:spPr>
                </pic:pic>
              </a:graphicData>
            </a:graphic>
          </wp:anchor>
        </w:drawing>
      </w:r>
    </w:p>
    <w:p>
      <w:pPr>
        <w:pStyle w:val="10"/>
        <w:jc w:val="center"/>
        <w:rPr>
          <w:rFonts w:hint="eastAsia"/>
        </w:rPr>
      </w:pPr>
      <w:r>
        <w:t xml:space="preserve">图 </w:t>
      </w:r>
      <w:r>
        <w:fldChar w:fldCharType="begin"/>
      </w:r>
      <w:r>
        <w:instrText xml:space="preserve"> SEQ 图 \* ARABIC </w:instrText>
      </w:r>
      <w:r>
        <w:fldChar w:fldCharType="separate"/>
      </w:r>
      <w:r>
        <w:t>29</w:t>
      </w:r>
      <w:r>
        <w:fldChar w:fldCharType="end"/>
      </w:r>
      <w:bookmarkStart w:id="126" w:name="_Toc26927"/>
      <w:r>
        <w:t xml:space="preserve">  全国智能新能源汽车行业产教融合共同体理事单位证书</w:t>
      </w:r>
      <w:bookmarkEnd w:id="126"/>
    </w:p>
    <w:p>
      <w:pPr>
        <w:adjustRightInd w:val="0"/>
        <w:snapToGrid w:val="0"/>
        <w:spacing w:line="540" w:lineRule="exact"/>
        <w:ind w:firstLine="640" w:firstLineChars="200"/>
        <w:rPr>
          <w:rFonts w:hint="eastAsia" w:ascii="仿宋" w:hAnsi="Calibri" w:eastAsia="仿宋" w:cs="仿宋"/>
          <w:kern w:val="2"/>
          <w:sz w:val="32"/>
          <w:szCs w:val="32"/>
          <w:lang w:val="en-US" w:eastAsia="zh-CN" w:bidi="zh-CN"/>
        </w:rPr>
      </w:pPr>
      <w:r>
        <w:rPr>
          <w:rFonts w:hint="eastAsia" w:ascii="仿宋" w:hAnsi="Calibri" w:eastAsia="仿宋" w:cs="仿宋"/>
          <w:kern w:val="2"/>
          <w:sz w:val="32"/>
          <w:szCs w:val="32"/>
          <w:lang w:val="en-US" w:eastAsia="zh-CN" w:bidi="zh-CN"/>
        </w:rPr>
        <w:t>3. 2024年涿鹿县职教中心加入张家口市数字经济产教联合体并成为副理事长单位。</w:t>
      </w:r>
    </w:p>
    <w:p>
      <w:pPr>
        <w:adjustRightInd w:val="0"/>
        <w:snapToGrid w:val="0"/>
        <w:spacing w:line="540" w:lineRule="exact"/>
        <w:ind w:firstLine="420" w:firstLineChars="200"/>
        <w:rPr>
          <w:lang w:val="en-US" w:bidi="ar-SA"/>
        </w:rPr>
      </w:pPr>
      <w:r>
        <w:rPr>
          <w:lang w:val="en-US" w:bidi="ar-SA"/>
        </w:rPr>
        <w:drawing>
          <wp:anchor distT="0" distB="0" distL="0" distR="0" simplePos="0" relativeHeight="251697152" behindDoc="0" locked="0" layoutInCell="1" allowOverlap="1">
            <wp:simplePos x="0" y="0"/>
            <wp:positionH relativeFrom="column">
              <wp:posOffset>1188720</wp:posOffset>
            </wp:positionH>
            <wp:positionV relativeFrom="page">
              <wp:posOffset>6333490</wp:posOffset>
            </wp:positionV>
            <wp:extent cx="2910205" cy="2848610"/>
            <wp:effectExtent l="0" t="0" r="635" b="1270"/>
            <wp:wrapTopAndBottom/>
            <wp:docPr id="55" name="图片 58" descr="C:\Users\Administrator\Documents\WeChat Files\wxid_blz7lsykq5z332\FileStorage\Temp\df8e3ad404390a7107b73ac9314f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8" descr="C:\Users\Administrator\Documents\WeChat Files\wxid_blz7lsykq5z332\FileStorage\Temp\df8e3ad404390a7107b73ac9314f589.jpg"/>
                    <pic:cNvPicPr>
                      <a:picLocks noChangeAspect="1" noChangeArrowheads="1"/>
                    </pic:cNvPicPr>
                  </pic:nvPicPr>
                  <pic:blipFill>
                    <a:blip r:embed="rId68" cstate="print"/>
                    <a:srcRect/>
                    <a:stretch>
                      <a:fillRect/>
                    </a:stretch>
                  </pic:blipFill>
                  <pic:spPr>
                    <a:xfrm>
                      <a:off x="0" y="0"/>
                      <a:ext cx="2910205" cy="2848610"/>
                    </a:xfrm>
                    <a:prstGeom prst="rect">
                      <a:avLst/>
                    </a:prstGeom>
                    <a:noFill/>
                    <a:ln w="9525">
                      <a:noFill/>
                      <a:miter lim="800000"/>
                      <a:headEnd/>
                      <a:tailEnd/>
                    </a:ln>
                  </pic:spPr>
                </pic:pic>
              </a:graphicData>
            </a:graphic>
          </wp:anchor>
        </w:drawing>
      </w:r>
    </w:p>
    <w:p>
      <w:pPr>
        <w:pStyle w:val="10"/>
        <w:jc w:val="center"/>
        <w:rPr>
          <w:rFonts w:hint="eastAsia"/>
        </w:rPr>
      </w:pPr>
      <w:r>
        <w:t xml:space="preserve">图 </w:t>
      </w:r>
      <w:r>
        <w:fldChar w:fldCharType="begin"/>
      </w:r>
      <w:r>
        <w:instrText xml:space="preserve"> SEQ 图 \* ARABIC </w:instrText>
      </w:r>
      <w:r>
        <w:fldChar w:fldCharType="separate"/>
      </w:r>
      <w:r>
        <w:t>30</w:t>
      </w:r>
      <w:r>
        <w:fldChar w:fldCharType="end"/>
      </w:r>
      <w:bookmarkStart w:id="127" w:name="_Toc29432"/>
      <w:r>
        <w:t xml:space="preserve">  全国智能新能源汽车行业产教融合共同体理事单位证书</w:t>
      </w:r>
      <w:bookmarkEnd w:id="127"/>
    </w:p>
    <w:p>
      <w:pPr>
        <w:keepNext w:val="0"/>
        <w:keepLines w:val="0"/>
        <w:pageBreakBefore w:val="0"/>
        <w:widowControl w:val="0"/>
        <w:kinsoku/>
        <w:wordWrap/>
        <w:overflowPunct/>
        <w:topLinePunct w:val="0"/>
        <w:autoSpaceDE/>
        <w:autoSpaceDN/>
        <w:bidi w:val="0"/>
        <w:adjustRightInd/>
        <w:snapToGrid/>
        <w:spacing w:line="560" w:lineRule="exact"/>
        <w:ind w:right="0" w:rightChars="0" w:firstLine="320" w:firstLineChars="100"/>
        <w:jc w:val="left"/>
        <w:textAlignment w:val="auto"/>
        <w:outlineLvl w:val="1"/>
        <w:rPr>
          <w:rFonts w:hint="default" w:ascii="楷体" w:hAnsi="楷体" w:eastAsia="楷体" w:cs="楷体"/>
          <w:b w:val="0"/>
          <w:bCs/>
          <w:kern w:val="2"/>
          <w:sz w:val="32"/>
          <w:szCs w:val="22"/>
          <w:lang w:val="en-US" w:eastAsia="zh-CN" w:bidi="ar-SA"/>
        </w:rPr>
      </w:pPr>
      <w:bookmarkStart w:id="128" w:name="_Toc32547"/>
      <w:r>
        <w:rPr>
          <w:rFonts w:hint="eastAsia" w:ascii="楷体" w:hAnsi="楷体" w:eastAsia="楷体" w:cs="楷体"/>
          <w:b w:val="0"/>
          <w:bCs/>
          <w:kern w:val="2"/>
          <w:sz w:val="32"/>
          <w:szCs w:val="22"/>
          <w:lang w:val="en-US" w:eastAsia="zh-CN" w:bidi="ar-SA"/>
        </w:rPr>
        <w:fldChar w:fldCharType="begin"/>
      </w:r>
      <w:r>
        <w:rPr>
          <w:rFonts w:hint="eastAsia" w:ascii="楷体" w:hAnsi="楷体" w:eastAsia="楷体" w:cs="楷体"/>
          <w:b w:val="0"/>
          <w:bCs/>
          <w:kern w:val="2"/>
          <w:sz w:val="32"/>
          <w:szCs w:val="22"/>
          <w:lang w:val="en-US" w:eastAsia="zh-CN" w:bidi="ar-SA"/>
        </w:rPr>
        <w:instrText xml:space="preserve"> HYPERLINK \l _Toc11303 </w:instrText>
      </w:r>
      <w:r>
        <w:rPr>
          <w:rFonts w:hint="eastAsia" w:ascii="楷体" w:hAnsi="楷体" w:eastAsia="楷体" w:cs="楷体"/>
          <w:b w:val="0"/>
          <w:bCs/>
          <w:kern w:val="2"/>
          <w:sz w:val="32"/>
          <w:szCs w:val="22"/>
          <w:lang w:val="en-US" w:eastAsia="zh-CN" w:bidi="ar-SA"/>
        </w:rPr>
        <w:fldChar w:fldCharType="separate"/>
      </w:r>
      <w:r>
        <w:rPr>
          <w:rFonts w:hint="eastAsia" w:ascii="楷体" w:hAnsi="楷体" w:eastAsia="楷体" w:cs="楷体"/>
          <w:b w:val="0"/>
          <w:bCs/>
          <w:kern w:val="2"/>
          <w:sz w:val="32"/>
          <w:szCs w:val="22"/>
          <w:lang w:val="en-US" w:eastAsia="zh-CN" w:bidi="ar-SA"/>
        </w:rPr>
        <w:t>（四）资源共建</w:t>
      </w:r>
      <w:r>
        <w:rPr>
          <w:rFonts w:hint="eastAsia" w:ascii="楷体" w:hAnsi="楷体" w:eastAsia="楷体" w:cs="楷体"/>
          <w:b w:val="0"/>
          <w:bCs/>
          <w:kern w:val="2"/>
          <w:sz w:val="32"/>
          <w:szCs w:val="22"/>
          <w:lang w:val="en-US" w:eastAsia="zh-CN" w:bidi="ar-SA"/>
        </w:rPr>
        <w:fldChar w:fldCharType="end"/>
      </w:r>
      <w:bookmarkEnd w:id="128"/>
    </w:p>
    <w:p>
      <w:pPr>
        <w:adjustRightInd w:val="0"/>
        <w:snapToGrid w:val="0"/>
        <w:spacing w:line="540" w:lineRule="exact"/>
        <w:ind w:firstLine="640" w:firstLineChars="200"/>
        <w:rPr>
          <w:rFonts w:hint="eastAsia" w:ascii="仿宋" w:hAnsi="Calibri" w:eastAsia="仿宋" w:cs="仿宋"/>
          <w:kern w:val="2"/>
          <w:sz w:val="32"/>
          <w:szCs w:val="32"/>
          <w:lang w:val="en-US" w:eastAsia="zh-CN" w:bidi="zh-CN"/>
        </w:rPr>
      </w:pPr>
      <w:r>
        <w:rPr>
          <w:rFonts w:hint="eastAsia" w:ascii="仿宋" w:hAnsi="Calibri" w:eastAsia="仿宋" w:cs="仿宋"/>
          <w:kern w:val="2"/>
          <w:sz w:val="32"/>
          <w:szCs w:val="32"/>
          <w:lang w:val="en-US" w:eastAsia="zh-CN" w:bidi="zh-CN"/>
        </w:rPr>
        <w:t>为更好地提升</w:t>
      </w:r>
      <w:r>
        <w:rPr>
          <w:rFonts w:hint="eastAsia" w:ascii="仿宋" w:eastAsia="仿宋" w:cs="仿宋"/>
          <w:kern w:val="2"/>
          <w:sz w:val="32"/>
          <w:szCs w:val="32"/>
          <w:lang w:val="en-US" w:eastAsia="zh-CN" w:bidi="zh-CN"/>
        </w:rPr>
        <w:t>该校</w:t>
      </w:r>
      <w:r>
        <w:rPr>
          <w:rFonts w:hint="eastAsia" w:ascii="仿宋" w:hAnsi="Calibri" w:eastAsia="仿宋" w:cs="仿宋"/>
          <w:kern w:val="2"/>
          <w:sz w:val="32"/>
          <w:szCs w:val="32"/>
          <w:lang w:val="en-US" w:eastAsia="zh-CN" w:bidi="zh-CN"/>
        </w:rPr>
        <w:t>学生的技能水平，投入156.86万元建设虚拟仿真实训室，又投资76万元，购置150台教学用计算机，装备计算机实训室一个。实训设备较去年增加232.86万元，</w:t>
      </w:r>
      <w:r>
        <w:rPr>
          <w:rFonts w:hint="eastAsia" w:ascii="仿宋" w:eastAsia="仿宋" w:cs="仿宋"/>
          <w:kern w:val="2"/>
          <w:sz w:val="32"/>
          <w:szCs w:val="32"/>
          <w:lang w:val="en-US" w:eastAsia="zh-CN" w:bidi="zh-CN"/>
        </w:rPr>
        <w:t>该校</w:t>
      </w:r>
      <w:r>
        <w:rPr>
          <w:rFonts w:hint="eastAsia" w:ascii="仿宋" w:hAnsi="Calibri" w:eastAsia="仿宋" w:cs="仿宋"/>
          <w:kern w:val="2"/>
          <w:sz w:val="32"/>
          <w:szCs w:val="32"/>
          <w:lang w:val="en-US" w:eastAsia="zh-CN" w:bidi="zh-CN"/>
        </w:rPr>
        <w:t>教学仪器设备总值达到2277.24万元，生均教学、实习仪器设备资产8227.02元。仪器设备2493套、各专业实习工位数1576个，生均0.57个工位。</w:t>
      </w:r>
      <w:r>
        <w:rPr>
          <w:rFonts w:hint="eastAsia" w:ascii="仿宋" w:eastAsia="仿宋" w:cs="仿宋"/>
          <w:kern w:val="2"/>
          <w:sz w:val="32"/>
          <w:szCs w:val="32"/>
          <w:lang w:val="en-US" w:eastAsia="zh-CN" w:bidi="zh-CN"/>
        </w:rPr>
        <w:t>该校</w:t>
      </w:r>
      <w:r>
        <w:rPr>
          <w:rFonts w:hint="eastAsia" w:ascii="仿宋" w:hAnsi="Calibri" w:eastAsia="仿宋" w:cs="仿宋"/>
          <w:kern w:val="2"/>
          <w:sz w:val="32"/>
          <w:szCs w:val="32"/>
          <w:lang w:val="en-US" w:eastAsia="zh-CN" w:bidi="zh-CN"/>
        </w:rPr>
        <w:t>各专业在校外都建有本专业的实训基地。</w:t>
      </w:r>
    </w:p>
    <w:p>
      <w:pPr>
        <w:pStyle w:val="2"/>
        <w:rPr>
          <w:lang w:val="en-US" w:bidi="ar-SA"/>
        </w:rPr>
      </w:pPr>
      <w:r>
        <w:rPr>
          <w:lang w:val="en-US" w:bidi="ar-SA"/>
        </w:rPr>
        <w:drawing>
          <wp:inline distT="0" distB="0" distL="0" distR="0">
            <wp:extent cx="5213350" cy="3219450"/>
            <wp:effectExtent l="0" t="0" r="13970" b="11430"/>
            <wp:docPr id="5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5"/>
                    <pic:cNvPicPr>
                      <a:picLocks noChangeAspect="1" noChangeArrowheads="1"/>
                    </pic:cNvPicPr>
                  </pic:nvPicPr>
                  <pic:blipFill>
                    <a:blip r:embed="rId69" cstate="print"/>
                    <a:srcRect/>
                    <a:stretch>
                      <a:fillRect/>
                    </a:stretch>
                  </pic:blipFill>
                  <pic:spPr>
                    <a:xfrm>
                      <a:off x="0" y="0"/>
                      <a:ext cx="5213350" cy="3219450"/>
                    </a:xfrm>
                    <a:prstGeom prst="rect">
                      <a:avLst/>
                    </a:prstGeom>
                    <a:noFill/>
                    <a:ln w="9525">
                      <a:noFill/>
                      <a:miter lim="800000"/>
                      <a:headEnd/>
                      <a:tailEnd/>
                    </a:ln>
                  </pic:spPr>
                </pic:pic>
              </a:graphicData>
            </a:graphic>
          </wp:inline>
        </w:drawing>
      </w:r>
    </w:p>
    <w:p>
      <w:pPr>
        <w:pStyle w:val="10"/>
        <w:jc w:val="center"/>
        <w:rPr>
          <w:lang w:val="en-US"/>
        </w:rPr>
      </w:pPr>
      <w:r>
        <w:t xml:space="preserve">图 </w:t>
      </w:r>
      <w:r>
        <w:fldChar w:fldCharType="begin"/>
      </w:r>
      <w:r>
        <w:instrText xml:space="preserve"> SEQ 图 \* ARABIC </w:instrText>
      </w:r>
      <w:r>
        <w:fldChar w:fldCharType="separate"/>
      </w:r>
      <w:r>
        <w:t>31</w:t>
      </w:r>
      <w:r>
        <w:fldChar w:fldCharType="end"/>
      </w:r>
      <w:bookmarkStart w:id="129" w:name="_Toc16084"/>
      <w:r>
        <w:t xml:space="preserve">   汽修专业实习环境</w:t>
      </w:r>
      <w:bookmarkEnd w:id="129"/>
    </w:p>
    <w:p>
      <w:pPr>
        <w:pStyle w:val="3"/>
        <w:rPr>
          <w:lang w:val="en-US"/>
        </w:rPr>
      </w:pPr>
    </w:p>
    <w:p>
      <w:pPr>
        <w:spacing w:line="560" w:lineRule="exact"/>
        <w:rPr>
          <w:rFonts w:hint="eastAsia" w:ascii="仿宋" w:hAnsi="仿宋" w:eastAsia="仿宋" w:cs="仿宋"/>
          <w:bCs/>
          <w:kern w:val="2"/>
          <w:sz w:val="24"/>
          <w:szCs w:val="24"/>
          <w:lang w:val="en-US" w:eastAsia="zh-CN" w:bidi="ar-SA"/>
        </w:rPr>
      </w:pPr>
      <w:r>
        <w:rPr>
          <w:rFonts w:hint="eastAsia" w:ascii="仿宋" w:hAnsi="Calibri" w:eastAsia="仿宋" w:cs="仿宋"/>
          <w:kern w:val="2"/>
          <w:sz w:val="32"/>
          <w:szCs w:val="32"/>
          <w:lang w:val="en-US" w:eastAsia="zh-CN" w:bidi="zh-CN"/>
        </w:rPr>
        <w:t>同时，</w:t>
      </w:r>
      <w:r>
        <w:rPr>
          <w:rFonts w:hint="eastAsia" w:ascii="仿宋" w:eastAsia="仿宋" w:cs="仿宋"/>
          <w:kern w:val="2"/>
          <w:sz w:val="32"/>
          <w:szCs w:val="32"/>
          <w:lang w:val="en-US" w:eastAsia="zh-CN" w:bidi="zh-CN"/>
        </w:rPr>
        <w:t>该校</w:t>
      </w:r>
      <w:r>
        <w:rPr>
          <w:rFonts w:hint="eastAsia" w:ascii="仿宋" w:hAnsi="Calibri" w:eastAsia="仿宋" w:cs="仿宋"/>
          <w:kern w:val="2"/>
          <w:sz w:val="32"/>
          <w:szCs w:val="32"/>
          <w:lang w:val="en-US" w:eastAsia="zh-CN" w:bidi="zh-CN"/>
        </w:rPr>
        <w:t xml:space="preserve">投资7000多元为3个机房接入商务快线光纤电路，速率为下行1000M,上行200M 。  </w:t>
      </w:r>
      <w:r>
        <w:rPr>
          <w:rFonts w:hint="eastAsia" w:ascii="仿宋" w:eastAsia="仿宋" w:cs="仿宋"/>
          <w:kern w:val="2"/>
          <w:sz w:val="32"/>
          <w:szCs w:val="32"/>
          <w:lang w:val="en-US" w:eastAsia="zh-CN" w:bidi="zh-CN"/>
        </w:rPr>
        <w:t>该校</w:t>
      </w:r>
      <w:r>
        <w:rPr>
          <w:rFonts w:hint="eastAsia" w:ascii="仿宋" w:hAnsi="Calibri" w:eastAsia="仿宋" w:cs="仿宋"/>
          <w:kern w:val="2"/>
          <w:sz w:val="32"/>
          <w:szCs w:val="32"/>
          <w:lang w:val="en-US" w:eastAsia="zh-CN" w:bidi="zh-CN"/>
        </w:rPr>
        <w:t>现有电脑1076台，其中办公用电脑219 台，教学用电脑857台，学生用计算机达到1台/3人，教师用计算机每人1台，全部计算机都接入互联网，实现了办公室和教学区无线网络全覆盖。</w:t>
      </w:r>
      <w:r>
        <w:rPr>
          <w:rFonts w:hint="eastAsia" w:ascii="仿宋_GB2312" w:hAnsi="仿宋_GB2312" w:eastAsia="仿宋_GB2312" w:cs="仿宋_GB2312"/>
          <w:sz w:val="32"/>
          <w:szCs w:val="32"/>
        </w:rPr>
        <w:t xml:space="preserve">  </w:t>
      </w:r>
    </w:p>
    <w:p>
      <w:pPr>
        <w:adjustRightInd w:val="0"/>
        <w:snapToGrid w:val="0"/>
        <w:spacing w:line="540" w:lineRule="exact"/>
        <w:ind w:firstLine="420" w:firstLineChars="200"/>
        <w:jc w:val="center"/>
      </w:pPr>
      <w:bookmarkStart w:id="130" w:name="_Toc29470"/>
      <w:r>
        <w:drawing>
          <wp:anchor distT="0" distB="0" distL="114300" distR="114300" simplePos="0" relativeHeight="251695104" behindDoc="0" locked="0" layoutInCell="1" allowOverlap="1">
            <wp:simplePos x="0" y="0"/>
            <wp:positionH relativeFrom="column">
              <wp:posOffset>156210</wp:posOffset>
            </wp:positionH>
            <wp:positionV relativeFrom="page">
              <wp:posOffset>981710</wp:posOffset>
            </wp:positionV>
            <wp:extent cx="5273040" cy="2907030"/>
            <wp:effectExtent l="0" t="0" r="0" b="3810"/>
            <wp:wrapTopAndBottom/>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70"/>
                    <a:stretch>
                      <a:fillRect/>
                    </a:stretch>
                  </pic:blipFill>
                  <pic:spPr>
                    <a:xfrm>
                      <a:off x="0" y="0"/>
                      <a:ext cx="5273040" cy="2907030"/>
                    </a:xfrm>
                    <a:prstGeom prst="rect">
                      <a:avLst/>
                    </a:prstGeom>
                    <a:noFill/>
                    <a:ln>
                      <a:noFill/>
                    </a:ln>
                  </pic:spPr>
                </pic:pic>
              </a:graphicData>
            </a:graphic>
          </wp:anchor>
        </w:drawing>
      </w:r>
    </w:p>
    <w:p>
      <w:pPr>
        <w:pStyle w:val="10"/>
        <w:jc w:val="center"/>
      </w:pPr>
      <w:r>
        <w:t xml:space="preserve">图 </w:t>
      </w:r>
      <w:r>
        <w:fldChar w:fldCharType="begin"/>
      </w:r>
      <w:r>
        <w:instrText xml:space="preserve"> SEQ 图 \* ARABIC </w:instrText>
      </w:r>
      <w:r>
        <w:fldChar w:fldCharType="separate"/>
      </w:r>
      <w:r>
        <w:t>32</w:t>
      </w:r>
      <w:r>
        <w:fldChar w:fldCharType="end"/>
      </w:r>
      <w:bookmarkStart w:id="131" w:name="_Toc21553"/>
      <w:r>
        <w:t xml:space="preserve">   学生实训机房</w:t>
      </w:r>
      <w:bookmarkEnd w:id="131"/>
    </w:p>
    <w:p>
      <w:pPr>
        <w:pStyle w:val="5"/>
        <w:keepNext/>
        <w:keepLines/>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left"/>
        <w:textAlignment w:val="auto"/>
        <w:outlineLvl w:val="0"/>
        <w:rPr>
          <w:rFonts w:hint="default"/>
          <w:b w:val="0"/>
          <w:bCs/>
          <w:lang w:val="en-US" w:eastAsia="zh-CN"/>
        </w:rPr>
      </w:pPr>
      <w:bookmarkStart w:id="132" w:name="_Toc18820"/>
      <w:r>
        <w:rPr>
          <w:rFonts w:hint="eastAsia"/>
          <w:b w:val="0"/>
          <w:bCs/>
          <w:lang w:val="en-US" w:eastAsia="zh-CN"/>
        </w:rPr>
        <w:t>六、发展保障</w:t>
      </w:r>
      <w:bookmarkEnd w:id="130"/>
      <w:bookmarkEnd w:id="132"/>
    </w:p>
    <w:p>
      <w:pPr>
        <w:pStyle w:val="6"/>
        <w:keepNext/>
        <w:keepLines/>
        <w:pageBreakBefore w:val="0"/>
        <w:widowControl w:val="0"/>
        <w:kinsoku/>
        <w:wordWrap/>
        <w:overflowPunct/>
        <w:topLinePunct w:val="0"/>
        <w:autoSpaceDE/>
        <w:autoSpaceDN/>
        <w:bidi w:val="0"/>
        <w:adjustRightInd/>
        <w:snapToGrid/>
        <w:spacing w:before="0" w:after="0" w:line="560" w:lineRule="exact"/>
        <w:ind w:firstLine="320" w:firstLineChars="100"/>
        <w:jc w:val="left"/>
        <w:textAlignment w:val="auto"/>
        <w:outlineLvl w:val="1"/>
        <w:rPr>
          <w:rFonts w:hint="eastAsia" w:ascii="楷体_GB2312" w:hAnsi="仿宋" w:eastAsia="楷体_GB2312" w:cs="仿宋"/>
          <w:sz w:val="32"/>
          <w:szCs w:val="32"/>
        </w:rPr>
      </w:pPr>
      <w:bookmarkStart w:id="133" w:name="_Toc24902"/>
      <w:r>
        <w:rPr>
          <w:rFonts w:hint="eastAsia" w:ascii="楷体" w:hAnsi="楷体" w:eastAsia="楷体" w:cs="楷体"/>
          <w:b w:val="0"/>
          <w:bCs/>
          <w:lang w:val="en-US" w:eastAsia="zh-CN"/>
        </w:rPr>
        <w:t>（一）政府统筹规划</w:t>
      </w:r>
      <w:bookmarkEnd w:id="133"/>
      <w:r>
        <w:rPr>
          <w:rFonts w:hint="eastAsia" w:ascii="楷体" w:hAnsi="楷体" w:eastAsia="楷体" w:cs="楷体"/>
          <w:b w:val="0"/>
          <w:bCs/>
          <w:lang w:val="en-US" w:eastAsia="zh-CN"/>
        </w:rPr>
        <w:t xml:space="preserve"> </w:t>
      </w:r>
      <w:r>
        <w:rPr>
          <w:rFonts w:hint="eastAsia" w:ascii="楷体_GB2312" w:hAnsi="仿宋" w:eastAsia="楷体_GB2312" w:cs="仿宋"/>
          <w:sz w:val="32"/>
          <w:szCs w:val="32"/>
        </w:rPr>
        <w:t xml:space="preserve"> </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涿鹿县委县政府在《涿鹿县国民经济和社会发展第十四个五年规划和二〇三五年远景目标纲要(2021年2月5日涿鹿县第十六届人民代表大会第五次会议批准)》提出</w:t>
      </w:r>
      <w:r>
        <w:rPr>
          <w:rFonts w:hint="eastAsia" w:ascii="仿宋" w:hAnsi="仿宋" w:eastAsia="仿宋" w:cs="仿宋"/>
          <w:sz w:val="32"/>
          <w:szCs w:val="32"/>
          <w:lang w:val="en-US" w:eastAsia="zh-CN"/>
        </w:rPr>
        <w:t>一方面要</w:t>
      </w:r>
      <w:r>
        <w:rPr>
          <w:rFonts w:hint="eastAsia" w:ascii="仿宋" w:hAnsi="仿宋" w:eastAsia="仿宋" w:cs="仿宋"/>
          <w:sz w:val="32"/>
          <w:szCs w:val="32"/>
        </w:rPr>
        <w:t>推进职业教育产教研融合发展,要“对接京津冀发展人才需求，深化“校企合作”，加快培育特色专业，努力培养适应社会的复合型人才，构建现代职业教育体系”。</w:t>
      </w:r>
      <w:r>
        <w:rPr>
          <w:rFonts w:hint="eastAsia" w:ascii="仿宋" w:hAnsi="仿宋" w:eastAsia="仿宋" w:cs="仿宋"/>
          <w:sz w:val="32"/>
          <w:szCs w:val="32"/>
          <w:lang w:val="en-US" w:eastAsia="zh-CN"/>
        </w:rPr>
        <w:t>另一方面要</w:t>
      </w:r>
      <w:r>
        <w:rPr>
          <w:rFonts w:hint="eastAsia" w:ascii="仿宋" w:hAnsi="仿宋" w:eastAsia="仿宋" w:cs="仿宋"/>
          <w:sz w:val="32"/>
          <w:szCs w:val="32"/>
        </w:rPr>
        <w:t>扩大职业技能培训范围，引导中小微企业开展职工职业技能培训，推行企业新型学徒制、现代学徒制培训。面向重点人群开展补贴性职业技能培训。实施职业技能提升计划和返乡创 业培训计划。支持各类企业、技工学校、民办职业培训学校共 建产教融合的培训基地，调动职业技能培训主体的积极性。继 续推行职业技能培训，完善职业技能培训制度，建立覆盖城乡 全体劳动者、贯穿劳动者学习工作的职业技能培训体系。</w:t>
      </w:r>
    </w:p>
    <w:p>
      <w:p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val="en-US" w:eastAsia="zh-CN"/>
        </w:rPr>
        <w:t>《涿鹿县“十四五”期间人才发展规划》中明确目标：</w:t>
      </w:r>
      <w:r>
        <w:rPr>
          <w:rFonts w:hint="eastAsia" w:ascii="仿宋" w:hAnsi="仿宋" w:eastAsia="仿宋" w:cs="仿宋"/>
          <w:sz w:val="32"/>
          <w:szCs w:val="32"/>
        </w:rPr>
        <w:t>人才自主培养能力不断增强。主要劳动年龄人口受高等教育比例明显上升。职业教育在校生突破3000人，职业教育双师型教师占比达到50%，深化产教融合、校企合作，构建符合涿鹿发展需求的产教研一体化现代职业教育体系</w:t>
      </w:r>
      <w:r>
        <w:rPr>
          <w:rFonts w:hint="eastAsia" w:ascii="仿宋" w:hAnsi="仿宋" w:eastAsia="仿宋" w:cs="仿宋"/>
          <w:sz w:val="32"/>
          <w:szCs w:val="32"/>
          <w:lang w:eastAsia="zh-CN"/>
        </w:rPr>
        <w:t>。</w:t>
      </w:r>
    </w:p>
    <w:p>
      <w:pPr>
        <w:spacing w:line="560" w:lineRule="exact"/>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《涿鹿县教育和体育局 2024 年工作总结和 2025 年谋划》中指出：职业教育要创新发展。一是加快发展现代职业教育，我县围绕电子信息、装备制造两大主导产业，优化调整学校专业设置， 增设电子技术应用专业。计划在未来一年内，将该专业招生规模扩大至 50 人，以满足产业发展对专业人才的需求。加强与经开区企业的紧密对接合作，目前已与五维航电、北大青鸟、博泰钢构等 5 家加工类企业对接。二是提升就业率和本科上线率，与我县经开区企业建立紧密的合作关系，开展订单式培养。企业根据自身需求提出人才培养方案，我县职教中心按照要求进行教学，学生毕业后直接进入企业工作；针对本科升学的要求，我县优化课程设置，加强语文、数学、英语等基础课程的教学，提高学生的文化基础水平。同时，合理设置专业课程，注重理论与实践相结合，提高学生的专业技能水平。</w:t>
      </w:r>
    </w:p>
    <w:p>
      <w:pPr>
        <w:spacing w:line="560" w:lineRule="exact"/>
        <w:ind w:firstLine="640" w:firstLineChars="200"/>
        <w:rPr>
          <w:rFonts w:hint="eastAsia" w:ascii="仿宋" w:hAnsi="仿宋" w:eastAsia="仿宋" w:cs="仿宋"/>
          <w:sz w:val="32"/>
          <w:szCs w:val="32"/>
          <w:lang w:val="en-US"/>
        </w:rPr>
      </w:pPr>
      <w:r>
        <w:rPr>
          <w:rFonts w:hint="eastAsia" w:ascii="仿宋" w:hAnsi="仿宋" w:eastAsia="仿宋" w:cs="仿宋"/>
          <w:sz w:val="32"/>
          <w:szCs w:val="32"/>
          <w:lang w:val="en-US"/>
        </w:rPr>
        <w:t>在涿鹿县委县政府的大力扶持下，</w:t>
      </w:r>
      <w:r>
        <w:rPr>
          <w:rFonts w:hint="eastAsia" w:ascii="仿宋" w:hAnsi="仿宋" w:eastAsia="仿宋" w:cs="仿宋"/>
          <w:sz w:val="32"/>
          <w:szCs w:val="32"/>
          <w:lang w:val="en-US" w:eastAsia="zh-CN"/>
        </w:rPr>
        <w:t>该</w:t>
      </w:r>
      <w:r>
        <w:rPr>
          <w:rFonts w:hint="eastAsia" w:ascii="仿宋" w:hAnsi="仿宋" w:eastAsia="仿宋" w:cs="仿宋"/>
          <w:sz w:val="32"/>
          <w:szCs w:val="32"/>
          <w:lang w:val="en-US"/>
        </w:rPr>
        <w:t>校申报“河北省2024-2026新型职业农民培养项目县”成功。</w:t>
      </w:r>
    </w:p>
    <w:p>
      <w:pPr>
        <w:keepNext w:val="0"/>
        <w:keepLines w:val="0"/>
        <w:pageBreakBefore w:val="0"/>
        <w:widowControl/>
        <w:suppressLineNumbers w:val="0"/>
        <w:kinsoku/>
        <w:wordWrap/>
        <w:overflowPunct/>
        <w:topLinePunct w:val="0"/>
        <w:autoSpaceDE/>
        <w:autoSpaceDN/>
        <w:bidi w:val="0"/>
        <w:adjustRightInd/>
        <w:snapToGrid/>
        <w:ind w:firstLine="482" w:firstLineChars="200"/>
        <w:jc w:val="left"/>
        <w:textAlignment w:val="auto"/>
        <w:rPr>
          <w:rFonts w:hint="eastAsia" w:ascii="仿宋" w:hAnsi="仿宋" w:eastAsia="仿宋" w:cs="仿宋"/>
          <w:b/>
          <w:bCs/>
          <w:kern w:val="2"/>
          <w:sz w:val="24"/>
          <w:szCs w:val="24"/>
          <w:lang w:val="en-US" w:eastAsia="zh-CN" w:bidi="ar-SA"/>
        </w:rPr>
      </w:pPr>
    </w:p>
    <w:p>
      <w:pPr>
        <w:keepNext w:val="0"/>
        <w:keepLines w:val="0"/>
        <w:pageBreakBefore w:val="0"/>
        <w:widowControl/>
        <w:suppressLineNumbers w:val="0"/>
        <w:kinsoku/>
        <w:wordWrap/>
        <w:overflowPunct/>
        <w:topLinePunct w:val="0"/>
        <w:autoSpaceDE/>
        <w:autoSpaceDN/>
        <w:bidi w:val="0"/>
        <w:adjustRightInd/>
        <w:snapToGrid/>
        <w:ind w:firstLine="482" w:firstLineChars="200"/>
        <w:jc w:val="left"/>
        <w:textAlignment w:val="auto"/>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典型案例</w:t>
      </w:r>
      <w:r>
        <w:rPr>
          <w:rFonts w:hint="default" w:ascii="仿宋" w:hAnsi="仿宋" w:eastAsia="仿宋" w:cs="仿宋"/>
          <w:b/>
          <w:bCs/>
          <w:kern w:val="2"/>
          <w:sz w:val="24"/>
          <w:szCs w:val="24"/>
          <w:lang w:val="en-US" w:eastAsia="zh-CN" w:bidi="ar-SA"/>
        </w:rPr>
        <w:t>16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jc w:val="center"/>
        <w:outlineLvl w:val="9"/>
        <w:rPr>
          <w:rFonts w:hint="eastAsia" w:ascii="仿宋" w:hAnsi="仿宋" w:eastAsia="仿宋" w:cs="仿宋"/>
          <w:b w:val="0"/>
          <w:kern w:val="2"/>
          <w:sz w:val="32"/>
          <w:szCs w:val="32"/>
          <w:lang w:val="en-US" w:eastAsia="zh-CN" w:bidi="ar-SA"/>
        </w:rPr>
      </w:pPr>
      <w:r>
        <w:rPr>
          <w:rFonts w:hint="eastAsia" w:ascii="仿宋" w:hAnsi="仿宋" w:eastAsia="仿宋" w:cs="仿宋"/>
          <w:b w:val="0"/>
          <w:kern w:val="2"/>
          <w:sz w:val="32"/>
          <w:szCs w:val="32"/>
          <w:lang w:val="en-US" w:eastAsia="zh-CN" w:bidi="ar-SA"/>
        </w:rPr>
        <w:t>涿鹿县政协领导莅临县职教中心调研指导工作</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2024年12月18日，涿鹿县政协副主席张海新、文史委主任肖长根、政协委员张维娜、刘艳军一行到县职教中心调研指导艺体教育工作。县委教育工委书记、县教体局党组书记、局长赵兴文，县委教育工委委员闫金华陪同调研。</w:t>
      </w:r>
    </w:p>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329555" cy="2901315"/>
            <wp:effectExtent l="0" t="0" r="4445" b="9525"/>
            <wp:docPr id="6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IMG_256"/>
                    <pic:cNvPicPr>
                      <a:picLocks noChangeAspect="1"/>
                    </pic:cNvPicPr>
                  </pic:nvPicPr>
                  <pic:blipFill>
                    <a:blip r:embed="rId71"/>
                    <a:stretch>
                      <a:fillRect/>
                    </a:stretch>
                  </pic:blipFill>
                  <pic:spPr>
                    <a:xfrm>
                      <a:off x="0" y="0"/>
                      <a:ext cx="5329555" cy="2901315"/>
                    </a:xfrm>
                    <a:prstGeom prst="rect">
                      <a:avLst/>
                    </a:prstGeom>
                    <a:noFill/>
                    <a:ln w="9525">
                      <a:noFill/>
                    </a:ln>
                  </pic:spPr>
                </pic:pic>
              </a:graphicData>
            </a:graphic>
          </wp:inline>
        </w:drawing>
      </w:r>
    </w:p>
    <w:p>
      <w:pPr>
        <w:pStyle w:val="10"/>
        <w:jc w:val="center"/>
        <w:rPr>
          <w:rFonts w:hint="eastAsia" w:eastAsia="仿宋"/>
          <w:lang w:eastAsia="zh-CN"/>
        </w:rPr>
      </w:pPr>
      <w:r>
        <w:t xml:space="preserve">图 </w:t>
      </w:r>
      <w:r>
        <w:fldChar w:fldCharType="begin"/>
      </w:r>
      <w:r>
        <w:instrText xml:space="preserve"> SEQ 图 \* ARABIC </w:instrText>
      </w:r>
      <w:r>
        <w:fldChar w:fldCharType="separate"/>
      </w:r>
      <w:r>
        <w:t>33</w:t>
      </w:r>
      <w:r>
        <w:fldChar w:fldCharType="end"/>
      </w:r>
      <w:bookmarkStart w:id="134" w:name="_Toc28873"/>
      <w:r>
        <w:rPr>
          <w:rFonts w:hint="eastAsia"/>
          <w:lang w:eastAsia="zh-CN"/>
        </w:rPr>
        <w:t>县委领导县局领导莅临学校调研</w:t>
      </w:r>
      <w:bookmarkEnd w:id="134"/>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318760" cy="2937510"/>
            <wp:effectExtent l="0" t="0" r="0" b="3810"/>
            <wp:docPr id="6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descr="IMG_257"/>
                    <pic:cNvPicPr>
                      <a:picLocks noChangeAspect="1"/>
                    </pic:cNvPicPr>
                  </pic:nvPicPr>
                  <pic:blipFill>
                    <a:blip r:embed="rId72"/>
                    <a:stretch>
                      <a:fillRect/>
                    </a:stretch>
                  </pic:blipFill>
                  <pic:spPr>
                    <a:xfrm>
                      <a:off x="0" y="0"/>
                      <a:ext cx="5318760" cy="2937510"/>
                    </a:xfrm>
                    <a:prstGeom prst="rect">
                      <a:avLst/>
                    </a:prstGeom>
                    <a:noFill/>
                    <a:ln w="9525">
                      <a:noFill/>
                    </a:ln>
                  </pic:spPr>
                </pic:pic>
              </a:graphicData>
            </a:graphic>
          </wp:inline>
        </w:drawing>
      </w:r>
    </w:p>
    <w:p>
      <w:pPr>
        <w:pStyle w:val="10"/>
        <w:jc w:val="center"/>
        <w:rPr>
          <w:lang w:val="en-US" w:eastAsia="zh-CN"/>
        </w:rPr>
      </w:pPr>
      <w:r>
        <w:t xml:space="preserve">图 </w:t>
      </w:r>
      <w:r>
        <w:fldChar w:fldCharType="begin"/>
      </w:r>
      <w:r>
        <w:instrText xml:space="preserve"> SEQ 图 \* ARABIC </w:instrText>
      </w:r>
      <w:r>
        <w:fldChar w:fldCharType="separate"/>
      </w:r>
      <w:r>
        <w:t>34</w:t>
      </w:r>
      <w:r>
        <w:fldChar w:fldCharType="end"/>
      </w:r>
      <w:bookmarkStart w:id="135" w:name="_Toc12699"/>
      <w:r>
        <w:t xml:space="preserve">  孟庆泉介绍学校概况</w:t>
      </w:r>
      <w:bookmarkEnd w:id="135"/>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调研中，职教中心党委副书记、校长孟庆泉首先介绍学校专业设置、升学就业、成人教育、新型职业农民培养、职业技能资格认定等工作概况，讲解国家关于艺体类教育和校企合作办学的相关政策支持，重点汇报学校社会文化艺术专业校企合作办学情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社会文化艺术专业负责人详细介绍了专业设立以来所取得的办学成绩，并通过例举优秀毕业生案例向领导们解读了本专业学生参加高考的强大优势，同时勾勒专业未来的发展规划，就扩大办学规模的可行性、必要性进行了说明，特别希望能够得到政策上的支持。特聘专业教练原北京体育大学博士生导师、教授王林，表达了自己愿为涿鹿体教事业贡献力量的教育情怀。</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407025" cy="3312795"/>
            <wp:effectExtent l="0" t="0" r="3175" b="9525"/>
            <wp:docPr id="6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descr="IMG_258"/>
                    <pic:cNvPicPr>
                      <a:picLocks noChangeAspect="1"/>
                    </pic:cNvPicPr>
                  </pic:nvPicPr>
                  <pic:blipFill>
                    <a:blip r:embed="rId73"/>
                    <a:stretch>
                      <a:fillRect/>
                    </a:stretch>
                  </pic:blipFill>
                  <pic:spPr>
                    <a:xfrm>
                      <a:off x="0" y="0"/>
                      <a:ext cx="5407025" cy="3312795"/>
                    </a:xfrm>
                    <a:prstGeom prst="rect">
                      <a:avLst/>
                    </a:prstGeom>
                    <a:noFill/>
                    <a:ln w="9525">
                      <a:noFill/>
                    </a:ln>
                  </pic:spPr>
                </pic:pic>
              </a:graphicData>
            </a:graphic>
          </wp:inline>
        </w:drawing>
      </w:r>
    </w:p>
    <w:p>
      <w:pPr>
        <w:pStyle w:val="10"/>
        <w:jc w:val="center"/>
        <w:rPr>
          <w:lang w:val="en-US" w:eastAsia="zh-CN"/>
        </w:rPr>
      </w:pPr>
      <w:r>
        <w:t xml:space="preserve">图 </w:t>
      </w:r>
      <w:r>
        <w:fldChar w:fldCharType="begin"/>
      </w:r>
      <w:r>
        <w:instrText xml:space="preserve"> SEQ 图 \* ARABIC </w:instrText>
      </w:r>
      <w:r>
        <w:fldChar w:fldCharType="separate"/>
      </w:r>
      <w:r>
        <w:t>35</w:t>
      </w:r>
      <w:r>
        <w:fldChar w:fldCharType="end"/>
      </w:r>
      <w:bookmarkStart w:id="136" w:name="_Toc14508"/>
      <w:r>
        <w:t xml:space="preserve">  赵兴文发表见解</w:t>
      </w:r>
      <w:bookmarkEnd w:id="136"/>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赵兴文站在全县教育事业发展高度，肯定了职教中心的发展进步和当前社会影响力，对社会文化艺术专业的可持续发展提出见解，鼓励学校积极探索校企合作规范化运行模式，为专业健康发展做出更大努力。</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367020" cy="2846070"/>
            <wp:effectExtent l="0" t="0" r="12700" b="3810"/>
            <wp:docPr id="6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 descr="IMG_259"/>
                    <pic:cNvPicPr>
                      <a:picLocks noChangeAspect="1"/>
                    </pic:cNvPicPr>
                  </pic:nvPicPr>
                  <pic:blipFill>
                    <a:blip r:embed="rId74"/>
                    <a:stretch>
                      <a:fillRect/>
                    </a:stretch>
                  </pic:blipFill>
                  <pic:spPr>
                    <a:xfrm>
                      <a:off x="0" y="0"/>
                      <a:ext cx="5367020" cy="2846070"/>
                    </a:xfrm>
                    <a:prstGeom prst="rect">
                      <a:avLst/>
                    </a:prstGeom>
                    <a:noFill/>
                    <a:ln w="9525">
                      <a:noFill/>
                    </a:ln>
                  </pic:spPr>
                </pic:pic>
              </a:graphicData>
            </a:graphic>
          </wp:inline>
        </w:drawing>
      </w:r>
    </w:p>
    <w:p>
      <w:pPr>
        <w:pStyle w:val="10"/>
        <w:jc w:val="center"/>
        <w:rPr>
          <w:lang w:val="en-US" w:eastAsia="zh-CN"/>
        </w:rPr>
      </w:pPr>
      <w:r>
        <w:t xml:space="preserve">图 </w:t>
      </w:r>
      <w:r>
        <w:fldChar w:fldCharType="begin"/>
      </w:r>
      <w:r>
        <w:instrText xml:space="preserve"> SEQ 图 \* ARABIC </w:instrText>
      </w:r>
      <w:r>
        <w:fldChar w:fldCharType="separate"/>
      </w:r>
      <w:r>
        <w:t>36</w:t>
      </w:r>
      <w:r>
        <w:fldChar w:fldCharType="end"/>
      </w:r>
      <w:bookmarkStart w:id="137" w:name="_Toc24025"/>
      <w:r>
        <w:t xml:space="preserve">  张海新总结说明</w:t>
      </w:r>
      <w:bookmarkEnd w:id="137"/>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 w:hAnsi="仿宋" w:eastAsia="仿宋" w:cs="仿宋"/>
          <w:lang w:val="en-US" w:eastAsia="zh-CN"/>
        </w:rPr>
      </w:pPr>
      <w:r>
        <w:rPr>
          <w:rFonts w:hint="eastAsia" w:ascii="仿宋" w:hAnsi="仿宋" w:eastAsia="仿宋" w:cs="仿宋"/>
          <w:kern w:val="2"/>
          <w:sz w:val="32"/>
          <w:szCs w:val="32"/>
          <w:lang w:val="en-US" w:eastAsia="zh-CN" w:bidi="ar-SA"/>
        </w:rPr>
        <w:t>张海新就此次调研选题作了说明，表示此行收获良多。他说，从老百姓口中、从官方媒体和自媒体平台听到看到了县职教中心艺体教育工作方方面面的良好口碑，认为该专业发展前景可观，有望成为全县教育高质量发展的一个新的突破口，希望学校将其进一步做大做强，形成规模，实现品牌效应，为促进县域经济社会发展增姿添彩。</w:t>
      </w:r>
      <w:r>
        <w:rPr>
          <w:rFonts w:hint="eastAsia" w:ascii="仿宋" w:hAnsi="仿宋" w:eastAsia="仿宋" w:cs="仿宋"/>
          <w:kern w:val="2"/>
          <w:sz w:val="32"/>
          <w:szCs w:val="32"/>
          <w:lang w:val="en-US" w:eastAsia="zh-CN" w:bidi="ar-SA"/>
        </w:rPr>
        <w:br w:type="textWrapping"/>
      </w:r>
      <w:r>
        <w:rPr>
          <w:rFonts w:hint="eastAsia" w:ascii="仿宋" w:hAnsi="仿宋" w:eastAsia="仿宋" w:cs="仿宋"/>
          <w:kern w:val="2"/>
          <w:sz w:val="32"/>
          <w:szCs w:val="32"/>
          <w:lang w:val="en-US" w:eastAsia="zh-CN" w:bidi="ar-SA"/>
        </w:rPr>
        <w:t>职教中心党委书记陈立东表示，学校领导班子接下来会就各位领导提出的意见和建议，深入研究社会文化艺术专业的发展规划，广泛吸纳各方资源，优化用人机制，充分利用好政策优势和战略定位，实现专业的提档升级、跨越发展。</w:t>
      </w:r>
    </w:p>
    <w:p>
      <w:pPr>
        <w:pStyle w:val="10"/>
        <w:jc w:val="center"/>
        <w:rPr>
          <w:rFonts w:cs="Times New Roman"/>
          <w:lang w:val="en-US" w:eastAsia="zh-CN"/>
        </w:rPr>
      </w:pPr>
      <w:bookmarkStart w:id="138" w:name="_Toc18672"/>
      <w:r>
        <w:rPr>
          <w:rFonts w:cs="Times New Roman"/>
          <w:lang w:val="en-US" w:eastAsia="zh-CN"/>
        </w:rPr>
        <w:drawing>
          <wp:anchor distT="0" distB="0" distL="114300" distR="114300" simplePos="0" relativeHeight="251698176" behindDoc="0" locked="0" layoutInCell="1" allowOverlap="1">
            <wp:simplePos x="0" y="0"/>
            <wp:positionH relativeFrom="column">
              <wp:posOffset>243840</wp:posOffset>
            </wp:positionH>
            <wp:positionV relativeFrom="page">
              <wp:posOffset>990600</wp:posOffset>
            </wp:positionV>
            <wp:extent cx="4947920" cy="2458720"/>
            <wp:effectExtent l="0" t="0" r="5080" b="10160"/>
            <wp:wrapTopAndBottom/>
            <wp:docPr id="6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descr="IMG_260"/>
                    <pic:cNvPicPr>
                      <a:picLocks noChangeAspect="1"/>
                    </pic:cNvPicPr>
                  </pic:nvPicPr>
                  <pic:blipFill>
                    <a:blip r:embed="rId75"/>
                    <a:stretch>
                      <a:fillRect/>
                    </a:stretch>
                  </pic:blipFill>
                  <pic:spPr>
                    <a:xfrm>
                      <a:off x="0" y="0"/>
                      <a:ext cx="4947920" cy="2458720"/>
                    </a:xfrm>
                    <a:prstGeom prst="rect">
                      <a:avLst/>
                    </a:prstGeom>
                    <a:noFill/>
                    <a:ln w="9525">
                      <a:noFill/>
                    </a:ln>
                  </pic:spPr>
                </pic:pic>
              </a:graphicData>
            </a:graphic>
          </wp:anchor>
        </w:drawing>
      </w:r>
      <w:r>
        <w:rPr>
          <w:rFonts w:cs="Times New Roman"/>
        </w:rPr>
        <w:t xml:space="preserve">图 </w:t>
      </w:r>
      <w:r>
        <w:rPr>
          <w:rFonts w:cs="Times New Roman"/>
        </w:rPr>
        <w:fldChar w:fldCharType="begin"/>
      </w:r>
      <w:r>
        <w:rPr>
          <w:rFonts w:cs="Times New Roman"/>
        </w:rPr>
        <w:instrText xml:space="preserve"> SEQ 图 \* ARABIC </w:instrText>
      </w:r>
      <w:r>
        <w:rPr>
          <w:rFonts w:cs="Times New Roman"/>
        </w:rPr>
        <w:fldChar w:fldCharType="separate"/>
      </w:r>
      <w:r>
        <w:rPr>
          <w:rFonts w:cs="Times New Roman"/>
        </w:rPr>
        <w:t>37</w:t>
      </w:r>
      <w:r>
        <w:rPr>
          <w:rFonts w:cs="Times New Roman"/>
        </w:rPr>
        <w:fldChar w:fldCharType="end"/>
      </w:r>
      <w:bookmarkStart w:id="139" w:name="_Toc11079"/>
      <w:r>
        <w:rPr>
          <w:rFonts w:cs="Times New Roman"/>
        </w:rPr>
        <w:t xml:space="preserve">  陈立东做总结发言</w:t>
      </w:r>
      <w:bookmarkEnd w:id="139"/>
    </w:p>
    <w:p>
      <w:pPr>
        <w:pStyle w:val="6"/>
        <w:keepNext/>
        <w:keepLines/>
        <w:pageBreakBefore w:val="0"/>
        <w:widowControl w:val="0"/>
        <w:kinsoku/>
        <w:wordWrap/>
        <w:overflowPunct/>
        <w:topLinePunct w:val="0"/>
        <w:autoSpaceDE/>
        <w:autoSpaceDN/>
        <w:bidi w:val="0"/>
        <w:adjustRightInd/>
        <w:snapToGrid/>
        <w:spacing w:before="0" w:after="0" w:line="560" w:lineRule="exact"/>
        <w:ind w:firstLine="320" w:firstLineChars="100"/>
        <w:jc w:val="left"/>
        <w:textAlignment w:val="auto"/>
        <w:outlineLvl w:val="1"/>
        <w:rPr>
          <w:rFonts w:hint="eastAsia" w:ascii="楷体" w:hAnsi="楷体" w:eastAsia="楷体" w:cs="楷体"/>
          <w:b w:val="0"/>
          <w:bCs/>
          <w:lang w:val="en-US" w:eastAsia="zh-CN"/>
        </w:rPr>
      </w:pPr>
      <w:bookmarkStart w:id="140" w:name="_Toc4415"/>
      <w:r>
        <w:rPr>
          <w:rFonts w:hint="eastAsia" w:ascii="楷体" w:hAnsi="楷体" w:eastAsia="楷体" w:cs="楷体"/>
          <w:b w:val="0"/>
          <w:bCs/>
          <w:lang w:val="en-US" w:eastAsia="zh-CN"/>
        </w:rPr>
        <w:t>（二）政府投入</w:t>
      </w:r>
      <w:bookmarkEnd w:id="138"/>
      <w:r>
        <w:rPr>
          <w:rFonts w:hint="eastAsia" w:ascii="楷体" w:hAnsi="楷体" w:eastAsia="楷体" w:cs="楷体"/>
          <w:b w:val="0"/>
          <w:bCs/>
          <w:lang w:val="en-US" w:eastAsia="zh-CN"/>
        </w:rPr>
        <w:t>支持</w:t>
      </w:r>
      <w:bookmarkEnd w:id="140"/>
      <w:r>
        <w:rPr>
          <w:rFonts w:hint="eastAsia" w:ascii="楷体" w:hAnsi="楷体" w:eastAsia="楷体" w:cs="楷体"/>
          <w:b w:val="0"/>
          <w:bCs/>
          <w:lang w:val="en-US" w:eastAsia="zh-CN"/>
        </w:rPr>
        <w:t xml:space="preserve"> </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涿鹿县政府认真落实职业教育经费保障机制，根据2022年5月19日河北省财政厅、河北省教育厅和河北省人力资源和社会保障厅三部门联合下发关于《河北省现代职业教育发展专项资金管理办法》的通知，免学费补助资金均按照每生每年平均2300元标准按比例分担，建档立卡家庭学生免住宿费和免教科书费补助标准为每生每年800元，中职生均经费补助标准为每生每年1000元。县财政已足额落实配套职业教育学校免学费、助学金和生均经费地方配套部分。</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2023年度河北省财政厅冀财教[2022]155号文件，下达专项资金320万元，冀财教冀财教[2023]69号文件，下达专项资金103万元，</w:t>
      </w:r>
      <w:r>
        <w:rPr>
          <w:rFonts w:hint="eastAsia" w:ascii="仿宋" w:hAnsi="仿宋" w:eastAsia="仿宋" w:cs="仿宋"/>
          <w:sz w:val="32"/>
          <w:szCs w:val="32"/>
          <w:lang w:eastAsia="zh-CN"/>
        </w:rPr>
        <w:t>该</w:t>
      </w:r>
      <w:r>
        <w:rPr>
          <w:rFonts w:hint="eastAsia" w:ascii="仿宋" w:hAnsi="仿宋" w:eastAsia="仿宋" w:cs="仿宋"/>
          <w:sz w:val="32"/>
          <w:szCs w:val="32"/>
        </w:rPr>
        <w:t>校认真筹划，精心实施，本级政府资金使用率达到100%，支出率100%，支出进度符合要求。圆满完成了项目建设各项任务。</w:t>
      </w:r>
    </w:p>
    <w:p>
      <w:pPr>
        <w:wordWrap w:val="0"/>
        <w:spacing w:before="0" w:after="0" w:line="540" w:lineRule="atLeast"/>
        <w:ind w:right="0" w:firstLine="640" w:firstLineChars="200"/>
        <w:jc w:val="left"/>
        <w:textAlignment w:val="baseline"/>
        <w:rPr>
          <w:rFonts w:hint="eastAsia" w:ascii="仿宋" w:hAnsi="仿宋" w:eastAsia="仿宋" w:cs="仿宋"/>
          <w:sz w:val="32"/>
          <w:szCs w:val="32"/>
          <w:lang w:val="en-US" w:eastAsia="zh-CN"/>
        </w:rPr>
      </w:pPr>
      <w:r>
        <w:rPr>
          <w:rFonts w:hint="eastAsia" w:ascii="仿宋" w:hAnsi="仿宋" w:eastAsia="仿宋" w:cs="仿宋"/>
          <w:sz w:val="32"/>
          <w:szCs w:val="32"/>
        </w:rPr>
        <w:t>2023年度本级财政落实免学费配套资金额度是276.8万元，与2022年投入的281.68万元基本持平。2023年度本级财政其它拨款4799.6万元，较2022年度的4184.31万元，增加615.29万元。年度本级财政落实生均公用经费配套</w:t>
      </w:r>
      <w:r>
        <w:rPr>
          <w:rFonts w:hint="eastAsia" w:ascii="仿宋" w:hAnsi="仿宋" w:eastAsia="仿宋" w:cs="仿宋"/>
          <w:sz w:val="32"/>
          <w:szCs w:val="32"/>
          <w:lang w:val="en-US" w:eastAsia="zh-CN"/>
        </w:rPr>
        <w:t>资金额度276.8万元，与2022年的374.1万元略有降低。</w:t>
      </w:r>
    </w:p>
    <w:p>
      <w:pPr>
        <w:wordWrap w:val="0"/>
        <w:spacing w:before="0" w:after="0" w:line="540" w:lineRule="atLeast"/>
        <w:ind w:left="0" w:right="0" w:firstLine="640"/>
        <w:jc w:val="left"/>
        <w:textAlignment w:val="baseline"/>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2023年实际新增固定资产345.11万元，年底固定资产达到6720.22万元。  </w:t>
      </w:r>
    </w:p>
    <w:p>
      <w:pPr>
        <w:pStyle w:val="2"/>
        <w:rPr>
          <w:rFonts w:hint="default"/>
          <w:lang w:val="en-US"/>
        </w:rPr>
      </w:pPr>
      <w:r>
        <w:rPr>
          <w:rFonts w:hint="default"/>
          <w:lang w:val="en-US"/>
        </w:rPr>
        <w:t xml:space="preserve">   </w:t>
      </w:r>
      <w:r>
        <w:drawing>
          <wp:inline distT="0" distB="0" distL="114300" distR="114300">
            <wp:extent cx="4572000" cy="2543810"/>
            <wp:effectExtent l="4445" t="4445" r="10795" b="12065"/>
            <wp:docPr id="6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Pr>
          <w:rFonts w:hint="default"/>
          <w:lang w:val="en-US"/>
        </w:rPr>
        <w:t xml:space="preserve">  </w:t>
      </w:r>
    </w:p>
    <w:p>
      <w:pPr>
        <w:pStyle w:val="10"/>
        <w:jc w:val="center"/>
        <w:rPr>
          <w:rFonts w:hint="default"/>
          <w:lang w:val="en-US" w:eastAsia="zh-CN"/>
        </w:rPr>
      </w:pPr>
      <w:r>
        <w:t xml:space="preserve">表 </w:t>
      </w:r>
      <w:r>
        <w:rPr>
          <w:rFonts w:hint="default"/>
          <w:lang w:val="en-US"/>
        </w:rPr>
        <w:t xml:space="preserve">2 </w:t>
      </w:r>
      <w:r>
        <w:rPr>
          <w:rFonts w:hint="eastAsia"/>
          <w:lang w:val="en-US" w:eastAsia="zh-CN"/>
        </w:rPr>
        <w:t>政府投入对比</w:t>
      </w:r>
    </w:p>
    <w:p>
      <w:pPr>
        <w:pStyle w:val="6"/>
        <w:keepNext/>
        <w:keepLines/>
        <w:pageBreakBefore w:val="0"/>
        <w:widowControl w:val="0"/>
        <w:kinsoku/>
        <w:wordWrap/>
        <w:overflowPunct/>
        <w:topLinePunct w:val="0"/>
        <w:autoSpaceDE/>
        <w:autoSpaceDN/>
        <w:bidi w:val="0"/>
        <w:adjustRightInd/>
        <w:snapToGrid/>
        <w:spacing w:before="0" w:after="0" w:line="560" w:lineRule="exact"/>
        <w:ind w:firstLine="320" w:firstLineChars="100"/>
        <w:jc w:val="left"/>
        <w:textAlignment w:val="auto"/>
        <w:outlineLvl w:val="1"/>
        <w:rPr>
          <w:rFonts w:hint="eastAsia" w:ascii="楷体" w:hAnsi="楷体" w:eastAsia="楷体" w:cs="楷体"/>
          <w:b w:val="0"/>
          <w:bCs/>
          <w:lang w:val="en-US" w:eastAsia="zh-CN"/>
        </w:rPr>
      </w:pPr>
      <w:bookmarkStart w:id="141" w:name="_Toc30672"/>
      <w:bookmarkStart w:id="142" w:name="_Toc18378"/>
      <w:r>
        <w:rPr>
          <w:rFonts w:hint="eastAsia" w:ascii="楷体" w:hAnsi="楷体" w:eastAsia="楷体" w:cs="楷体"/>
          <w:b w:val="0"/>
          <w:bCs/>
          <w:lang w:val="en-US" w:eastAsia="zh-CN"/>
        </w:rPr>
        <w:t>（三）学校编制设定</w:t>
      </w:r>
      <w:bookmarkEnd w:id="141"/>
      <w:bookmarkEnd w:id="142"/>
    </w:p>
    <w:p>
      <w:pPr>
        <w:wordWrap w:val="0"/>
        <w:spacing w:before="0" w:after="0" w:line="540" w:lineRule="atLeast"/>
        <w:ind w:left="0" w:right="0" w:firstLine="640"/>
        <w:jc w:val="left"/>
        <w:textAlignment w:val="baseline"/>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该校教师编制数为191人，现有在编教师186人。为进一步提高该校职业教育教师队伍层次，以适应职业教育发展，该校增聘企业行业兼职教师2名，达到26人，负责校外实习辅导和新型职业农民培养教学活动。</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320" w:firstLineChars="100"/>
        <w:jc w:val="left"/>
        <w:textAlignment w:val="auto"/>
        <w:outlineLvl w:val="1"/>
        <w:rPr>
          <w:rFonts w:hint="eastAsia" w:ascii="楷体" w:hAnsi="楷体" w:eastAsia="楷体" w:cs="楷体"/>
          <w:b w:val="0"/>
          <w:bCs/>
          <w:lang w:val="en-US" w:eastAsia="zh-CN"/>
        </w:rPr>
      </w:pPr>
      <w:bookmarkStart w:id="143" w:name="_Toc3121"/>
      <w:r>
        <w:rPr>
          <w:rFonts w:hint="eastAsia" w:ascii="楷体" w:hAnsi="楷体" w:eastAsia="楷体" w:cs="楷体"/>
          <w:b w:val="0"/>
          <w:bCs/>
          <w:lang w:val="en-US" w:eastAsia="zh-CN"/>
        </w:rPr>
        <w:t>（四）学校规划管理</w:t>
      </w:r>
      <w:bookmarkEnd w:id="143"/>
    </w:p>
    <w:p>
      <w:pPr>
        <w:wordWrap w:val="0"/>
        <w:spacing w:before="0" w:after="0" w:line="540" w:lineRule="atLeast"/>
        <w:ind w:right="0" w:firstLine="640" w:firstLineChars="200"/>
        <w:jc w:val="left"/>
        <w:textAlignment w:val="baseline"/>
        <w:rPr>
          <w:rFonts w:hint="eastAsia" w:ascii="楷体" w:hAnsi="楷体" w:eastAsia="楷体" w:cs="楷体"/>
          <w:b w:val="0"/>
          <w:bCs/>
          <w:kern w:val="2"/>
          <w:sz w:val="32"/>
          <w:szCs w:val="22"/>
          <w:lang w:val="en-US" w:eastAsia="zh-CN" w:bidi="ar-SA"/>
        </w:rPr>
      </w:pPr>
      <w:bookmarkStart w:id="144" w:name="_Toc6967"/>
      <w:r>
        <w:rPr>
          <w:rFonts w:hint="default" w:ascii="楷体" w:hAnsi="楷体" w:eastAsia="楷体" w:cs="楷体"/>
          <w:b w:val="0"/>
          <w:bCs/>
          <w:kern w:val="2"/>
          <w:sz w:val="32"/>
          <w:szCs w:val="22"/>
          <w:lang w:val="en-US" w:eastAsia="zh-CN" w:bidi="ar-SA"/>
        </w:rPr>
        <w:t>1.</w:t>
      </w:r>
      <w:r>
        <w:rPr>
          <w:rFonts w:hint="eastAsia" w:ascii="楷体" w:hAnsi="楷体" w:eastAsia="楷体" w:cs="楷体"/>
          <w:b w:val="0"/>
          <w:bCs/>
          <w:kern w:val="2"/>
          <w:sz w:val="32"/>
          <w:szCs w:val="22"/>
          <w:lang w:val="en-US" w:eastAsia="zh-CN" w:bidi="ar-SA"/>
        </w:rPr>
        <w:t>办学方向</w:t>
      </w:r>
      <w:bookmarkEnd w:id="144"/>
    </w:p>
    <w:p>
      <w:pPr>
        <w:wordWrap w:val="0"/>
        <w:spacing w:before="0" w:after="0" w:line="540" w:lineRule="atLeast"/>
        <w:ind w:left="0" w:right="0" w:firstLine="640"/>
        <w:jc w:val="left"/>
        <w:textAlignment w:val="baseline"/>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该校积极响应党和政府的中职办学方向，及时调整办学方向。在校委会带领下，以“服务学生升学和就业、服务县域经济社会发展、服务乡村振兴的多元化办学格局”为导向，积极开展该校教育工作。</w:t>
      </w:r>
    </w:p>
    <w:p>
      <w:pPr>
        <w:wordWrap w:val="0"/>
        <w:spacing w:before="0" w:after="0" w:line="540" w:lineRule="atLeast"/>
        <w:ind w:right="0" w:firstLine="640" w:firstLineChars="200"/>
        <w:jc w:val="left"/>
        <w:textAlignment w:val="baseline"/>
        <w:rPr>
          <w:rFonts w:hint="eastAsia" w:ascii="仿宋_GB2312" w:hAnsi="仿宋" w:eastAsia="仿宋_GB2312" w:cs="仿宋"/>
          <w:sz w:val="32"/>
          <w:szCs w:val="32"/>
          <w:lang w:val="en-US" w:eastAsia="zh-CN"/>
        </w:rPr>
      </w:pPr>
      <w:r>
        <w:rPr>
          <w:rFonts w:hint="default" w:ascii="楷体" w:hAnsi="楷体" w:eastAsia="楷体" w:cs="楷体"/>
          <w:b w:val="0"/>
          <w:bCs/>
          <w:kern w:val="2"/>
          <w:sz w:val="32"/>
          <w:szCs w:val="22"/>
          <w:lang w:val="en-US" w:eastAsia="zh-CN" w:bidi="ar-SA"/>
        </w:rPr>
        <w:t>2.</w:t>
      </w:r>
      <w:r>
        <w:rPr>
          <w:rFonts w:hint="eastAsia" w:ascii="楷体" w:hAnsi="楷体" w:eastAsia="楷体" w:cs="楷体"/>
          <w:b w:val="0"/>
          <w:bCs/>
          <w:kern w:val="2"/>
          <w:sz w:val="32"/>
          <w:szCs w:val="22"/>
          <w:lang w:val="en-US" w:eastAsia="zh-CN" w:bidi="ar-SA"/>
        </w:rPr>
        <w:t>管理机制</w:t>
      </w:r>
    </w:p>
    <w:p>
      <w:pPr>
        <w:wordWrap w:val="0"/>
        <w:spacing w:before="0" w:after="0" w:line="540" w:lineRule="atLeast"/>
        <w:ind w:right="0" w:firstLine="320" w:firstLineChars="100"/>
        <w:jc w:val="left"/>
        <w:textAlignment w:val="baseline"/>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1</w:t>
      </w:r>
      <w:r>
        <w:rPr>
          <w:rFonts w:hint="eastAsia" w:ascii="仿宋" w:hAnsi="仿宋" w:eastAsia="仿宋" w:cs="仿宋"/>
          <w:sz w:val="32"/>
          <w:szCs w:val="32"/>
          <w:lang w:val="en-US" w:eastAsia="zh-CN"/>
        </w:rPr>
        <w:t>）运行机制</w:t>
      </w:r>
    </w:p>
    <w:p>
      <w:pPr>
        <w:wordWrap w:val="0"/>
        <w:spacing w:before="0" w:after="0" w:line="540" w:lineRule="atLeast"/>
        <w:ind w:left="0" w:right="0" w:firstLine="640"/>
        <w:jc w:val="left"/>
        <w:textAlignment w:val="baseline"/>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该校认真贯彻落实党组织领导的校长负责制。</w:t>
      </w:r>
    </w:p>
    <w:p>
      <w:pPr>
        <w:wordWrap w:val="0"/>
        <w:spacing w:before="0" w:after="0" w:line="540" w:lineRule="atLeast"/>
        <w:ind w:left="0" w:right="0" w:firstLine="640"/>
        <w:jc w:val="left"/>
        <w:textAlignment w:val="baseline"/>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该校设书记、副书记兼校长和纪委书记各一名，三名副校长（其中两名党员副校长交叉任职），五名校务委员。又设置十五名正主任分管15个科室，负责学校工作正常运行。现存建立涵盖党建、团建、学校、安全、总务、教务、教育、产教融合、技能鉴定、新型职业农民培养、开放大学、老年教育12方面的各类规划、方案和制度共计50项，并不断建立健全。</w:t>
      </w:r>
    </w:p>
    <w:p>
      <w:pPr>
        <w:wordWrap w:val="0"/>
        <w:spacing w:before="0" w:after="0" w:line="540" w:lineRule="atLeast"/>
        <w:ind w:left="0" w:right="0" w:firstLine="640"/>
        <w:jc w:val="left"/>
        <w:textAlignment w:val="baseline"/>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领导班子践行全面从严治党要求，将其贯穿于办学治校的每一个环节。</w:t>
      </w:r>
    </w:p>
    <w:p>
      <w:pPr>
        <w:wordWrap w:val="0"/>
        <w:spacing w:before="0" w:after="0" w:line="540" w:lineRule="atLeast"/>
        <w:ind w:right="0" w:firstLine="320" w:firstLineChars="100"/>
        <w:jc w:val="left"/>
        <w:textAlignment w:val="baseline"/>
        <w:rPr>
          <w:rFonts w:hint="eastAsia" w:ascii="仿宋" w:hAnsi="仿宋" w:eastAsia="仿宋" w:cs="仿宋"/>
          <w:sz w:val="32"/>
          <w:szCs w:val="32"/>
          <w:lang w:val="en-US" w:eastAsia="zh-CN"/>
        </w:rPr>
      </w:pPr>
      <w:bookmarkStart w:id="145" w:name="_Toc7740"/>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2</w:t>
      </w:r>
      <w:r>
        <w:rPr>
          <w:rFonts w:hint="eastAsia" w:ascii="仿宋" w:hAnsi="仿宋" w:eastAsia="仿宋" w:cs="仿宋"/>
          <w:sz w:val="32"/>
          <w:szCs w:val="32"/>
          <w:lang w:val="en-US" w:eastAsia="zh-CN"/>
        </w:rPr>
        <w:t>）动力机制</w:t>
      </w:r>
    </w:p>
    <w:p>
      <w:pPr>
        <w:wordWrap w:val="0"/>
        <w:spacing w:before="0" w:after="0" w:line="540" w:lineRule="atLeast"/>
        <w:ind w:left="0" w:right="0" w:firstLine="640"/>
        <w:jc w:val="left"/>
        <w:textAlignment w:val="baseline"/>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该校《河北省中等职业学校绩效评价方案》的要求为起点，以全国中等职业学校管理信息系统要求为导向，积极发展完善学校的规划管理。</w:t>
      </w:r>
    </w:p>
    <w:p>
      <w:pPr>
        <w:keepNext w:val="0"/>
        <w:keepLines w:val="0"/>
        <w:pageBreakBefore w:val="0"/>
        <w:widowControl/>
        <w:suppressLineNumbers w:val="0"/>
        <w:kinsoku/>
        <w:wordWrap/>
        <w:overflowPunct/>
        <w:topLinePunct w:val="0"/>
        <w:autoSpaceDE/>
        <w:autoSpaceDN/>
        <w:bidi w:val="0"/>
        <w:adjustRightInd/>
        <w:snapToGrid/>
        <w:ind w:firstLine="482" w:firstLineChars="200"/>
        <w:jc w:val="left"/>
        <w:textAlignment w:val="auto"/>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典型案例</w:t>
      </w:r>
      <w:r>
        <w:rPr>
          <w:rFonts w:hint="default" w:ascii="仿宋" w:hAnsi="仿宋" w:eastAsia="仿宋" w:cs="仿宋"/>
          <w:b/>
          <w:bCs/>
          <w:kern w:val="2"/>
          <w:sz w:val="24"/>
          <w:szCs w:val="24"/>
          <w:lang w:val="en-US" w:eastAsia="zh-CN" w:bidi="ar-SA"/>
        </w:rPr>
        <w:t>16</w:t>
      </w:r>
    </w:p>
    <w:p>
      <w:pPr>
        <w:wordWrap w:val="0"/>
        <w:spacing w:before="0" w:after="0" w:line="540" w:lineRule="atLeast"/>
        <w:ind w:left="0" w:right="0" w:firstLine="2569" w:firstLineChars="803"/>
        <w:jc w:val="left"/>
        <w:textAlignment w:val="baseline"/>
        <w:rPr>
          <w:rFonts w:ascii="仿宋" w:hAnsi="仿宋" w:eastAsia="仿宋" w:cs="仿宋"/>
          <w:b w:val="0"/>
          <w:i w:val="0"/>
          <w:color w:val="000000"/>
          <w:sz w:val="32"/>
        </w:rPr>
      </w:pPr>
      <w:r>
        <w:rPr>
          <w:rFonts w:ascii="仿宋" w:hAnsi="仿宋" w:eastAsia="仿宋" w:cs="仿宋"/>
          <w:b w:val="0"/>
          <w:i w:val="0"/>
          <w:color w:val="000000"/>
          <w:sz w:val="32"/>
        </w:rPr>
        <w:t>涿鹿县职业技术教育中心</w:t>
      </w:r>
    </w:p>
    <w:p>
      <w:pPr>
        <w:wordWrap w:val="0"/>
        <w:spacing w:before="0" w:after="0" w:line="540" w:lineRule="atLeast"/>
        <w:ind w:left="0" w:right="0" w:firstLine="640"/>
        <w:jc w:val="center"/>
        <w:textAlignment w:val="baseline"/>
        <w:rPr>
          <w:rFonts w:ascii="仿宋" w:hAnsi="仿宋" w:eastAsia="仿宋" w:cs="仿宋"/>
          <w:b w:val="0"/>
          <w:i w:val="0"/>
          <w:color w:val="000000"/>
          <w:sz w:val="32"/>
        </w:rPr>
      </w:pPr>
      <w:r>
        <w:rPr>
          <w:rFonts w:ascii="仿宋" w:hAnsi="仿宋" w:eastAsia="仿宋" w:cs="仿宋"/>
          <w:b w:val="0"/>
          <w:i w:val="0"/>
          <w:color w:val="000000"/>
          <w:sz w:val="32"/>
        </w:rPr>
        <w:t>采用“党建+”工作模式 办好人民满意的</w:t>
      </w:r>
    </w:p>
    <w:p>
      <w:pPr>
        <w:wordWrap w:val="0"/>
        <w:spacing w:before="0" w:after="0" w:line="540" w:lineRule="atLeast"/>
        <w:ind w:left="0" w:right="0" w:firstLine="640"/>
        <w:jc w:val="center"/>
        <w:textAlignment w:val="baseline"/>
        <w:rPr>
          <w:rFonts w:ascii="仿宋" w:hAnsi="仿宋" w:eastAsia="仿宋" w:cs="仿宋"/>
          <w:b w:val="0"/>
          <w:i w:val="0"/>
          <w:color w:val="000000"/>
          <w:sz w:val="32"/>
        </w:rPr>
      </w:pPr>
      <w:r>
        <w:rPr>
          <w:rFonts w:ascii="仿宋" w:hAnsi="仿宋" w:eastAsia="仿宋" w:cs="仿宋"/>
          <w:b w:val="0"/>
          <w:i w:val="0"/>
          <w:color w:val="000000"/>
          <w:sz w:val="32"/>
        </w:rPr>
        <w:t>职业教育</w:t>
      </w:r>
    </w:p>
    <w:p>
      <w:pPr>
        <w:wordWrap w:val="0"/>
        <w:spacing w:before="0" w:after="0" w:line="540" w:lineRule="atLeast"/>
        <w:ind w:left="0" w:right="0" w:firstLine="640"/>
        <w:jc w:val="both"/>
        <w:textAlignment w:val="baseline"/>
        <w:rPr>
          <w:rFonts w:ascii="仿宋" w:hAnsi="仿宋" w:eastAsia="仿宋" w:cs="仿宋"/>
          <w:b w:val="0"/>
          <w:i w:val="0"/>
          <w:color w:val="000000"/>
          <w:sz w:val="32"/>
        </w:rPr>
      </w:pPr>
      <w:r>
        <w:rPr>
          <w:rFonts w:ascii="仿宋" w:hAnsi="仿宋" w:eastAsia="仿宋" w:cs="仿宋"/>
          <w:b w:val="0"/>
          <w:i w:val="0"/>
          <w:color w:val="000000"/>
          <w:sz w:val="32"/>
        </w:rPr>
        <w:t>涿鹿县职业技术教育中心党委，坚持党建引领，积极采用“党建+”模式引领学校工作整体推进。打造职业教育特色党建品牌，紧紧围绕“办人民满意教育”工作目标，积极推动职业教育高质量发展。</w:t>
      </w:r>
    </w:p>
    <w:p>
      <w:pPr>
        <w:wordWrap w:val="0"/>
        <w:spacing w:before="0" w:after="0" w:line="540" w:lineRule="atLeast"/>
        <w:ind w:left="0" w:right="0" w:firstLine="640"/>
        <w:jc w:val="both"/>
        <w:textAlignment w:val="baseline"/>
        <w:rPr>
          <w:rFonts w:ascii="仿宋" w:hAnsi="仿宋" w:eastAsia="仿宋" w:cs="仿宋"/>
          <w:b w:val="0"/>
          <w:i w:val="0"/>
          <w:color w:val="000000"/>
          <w:sz w:val="32"/>
        </w:rPr>
      </w:pPr>
      <w:r>
        <w:rPr>
          <w:rFonts w:hint="eastAsia" w:ascii="仿宋" w:hAnsi="仿宋" w:eastAsia="仿宋" w:cs="仿宋"/>
          <w:b w:val="0"/>
          <w:i w:val="0"/>
          <w:color w:val="000000"/>
          <w:sz w:val="32"/>
          <w:lang w:val="en-US" w:eastAsia="zh-CN"/>
        </w:rPr>
        <w:t>一、</w:t>
      </w:r>
      <w:r>
        <w:rPr>
          <w:rFonts w:ascii="仿宋" w:hAnsi="仿宋" w:eastAsia="仿宋" w:cs="仿宋"/>
          <w:b w:val="0"/>
          <w:i w:val="0"/>
          <w:color w:val="000000"/>
          <w:sz w:val="32"/>
        </w:rPr>
        <w:t>“党建+组织堡垒”，把准发展航向“压舱石”</w:t>
      </w:r>
    </w:p>
    <w:p>
      <w:pPr>
        <w:wordWrap w:val="0"/>
        <w:spacing w:before="0" w:after="0" w:line="540" w:lineRule="atLeast"/>
        <w:ind w:left="0" w:right="0" w:firstLine="640"/>
        <w:jc w:val="both"/>
        <w:textAlignment w:val="baseline"/>
        <w:rPr>
          <w:rFonts w:ascii="仿宋" w:hAnsi="仿宋" w:eastAsia="仿宋" w:cs="仿宋"/>
          <w:b w:val="0"/>
          <w:i w:val="0"/>
          <w:color w:val="000000"/>
          <w:sz w:val="32"/>
        </w:rPr>
      </w:pPr>
      <w:r>
        <w:rPr>
          <w:rFonts w:ascii="仿宋" w:hAnsi="仿宋" w:eastAsia="仿宋" w:cs="仿宋"/>
          <w:b w:val="0"/>
          <w:i w:val="0"/>
          <w:color w:val="000000"/>
          <w:sz w:val="32"/>
        </w:rPr>
        <w:t>学校党委始终把党的政治建设摆在首位，坚持以习近平新时代中国特色社会主义思想为指导，认真学习贯彻落实党的二十届三中全会精神和习近平总书记关于职业教育的重要讲话以及重要指示精神，严格落实“第一议题”制度， “党委会议事制度”</w:t>
      </w:r>
      <w:r>
        <w:rPr>
          <w:rFonts w:hint="eastAsia" w:ascii="仿宋" w:hAnsi="仿宋" w:eastAsia="仿宋" w:cs="仿宋"/>
          <w:b w:val="0"/>
          <w:i w:val="0"/>
          <w:color w:val="000000"/>
          <w:sz w:val="32"/>
          <w:lang w:eastAsia="zh-CN"/>
        </w:rPr>
        <w:t>、</w:t>
      </w:r>
      <w:r>
        <w:rPr>
          <w:rFonts w:ascii="仿宋" w:hAnsi="仿宋" w:eastAsia="仿宋" w:cs="仿宋"/>
          <w:b w:val="0"/>
          <w:i w:val="0"/>
          <w:color w:val="000000"/>
          <w:sz w:val="32"/>
        </w:rPr>
        <w:t>“校领导定期谈话制度”等。指导党支部不断丰富“三会一课”、主题党日内容，组织学校优秀党员干部赴西柏坡红色革命基地开展研学和党性教育，开展“找问题，找差距，找短板”讨论活动，切实提高教书育人的精气神。学校党委坚持把党的领导贯穿学校改革发展始终，充分发挥基层党组织战斗堡垒作用，进一步推动学校党建工作与教育教学双融双促，严格落实“三重一大”决策机制，分别健全完善党委会和校委会的议事规则，明确决策范围和程序，加强党务与校务统筹，保证党建与教学双促进双提升，不断增强学校发展的创造力、凝聚力和战斗力。在学校党委带领下，学校先后被评为张家口市2023年度开放大学教育教学管理、招生先进单位、2023年网络安全和信息化工作先进集体、国家安全教育实验学校等殊荣。</w:t>
      </w:r>
    </w:p>
    <w:p>
      <w:pPr>
        <w:wordWrap w:val="0"/>
        <w:spacing w:before="0" w:after="0" w:line="540" w:lineRule="atLeast"/>
        <w:ind w:left="0" w:right="0" w:firstLine="640"/>
        <w:jc w:val="both"/>
        <w:textAlignment w:val="baseline"/>
        <w:rPr>
          <w:rFonts w:ascii="仿宋" w:hAnsi="仿宋" w:eastAsia="仿宋" w:cs="仿宋"/>
          <w:b w:val="0"/>
          <w:i w:val="0"/>
          <w:color w:val="000000"/>
          <w:sz w:val="32"/>
        </w:rPr>
      </w:pPr>
      <w:r>
        <w:rPr>
          <w:rFonts w:hint="eastAsia" w:ascii="仿宋" w:hAnsi="仿宋" w:eastAsia="仿宋" w:cs="仿宋"/>
          <w:b w:val="0"/>
          <w:i w:val="0"/>
          <w:color w:val="000000"/>
          <w:sz w:val="32"/>
          <w:lang w:val="en-US" w:eastAsia="zh-CN"/>
        </w:rPr>
        <w:t>二、</w:t>
      </w:r>
      <w:r>
        <w:rPr>
          <w:rFonts w:ascii="仿宋" w:hAnsi="仿宋" w:eastAsia="仿宋" w:cs="仿宋"/>
          <w:b w:val="0"/>
          <w:i w:val="0"/>
          <w:color w:val="000000"/>
          <w:sz w:val="32"/>
        </w:rPr>
        <w:t>“党建+人才培养”，发展专业队伍“生力军”</w:t>
      </w:r>
    </w:p>
    <w:p>
      <w:pPr>
        <w:wordWrap w:val="0"/>
        <w:spacing w:before="0" w:after="0" w:line="540" w:lineRule="atLeast"/>
        <w:ind w:left="0" w:right="0" w:firstLine="640"/>
        <w:jc w:val="both"/>
        <w:textAlignment w:val="baseline"/>
        <w:rPr>
          <w:rFonts w:ascii="仿宋" w:hAnsi="仿宋" w:eastAsia="仿宋" w:cs="仿宋"/>
          <w:b w:val="0"/>
          <w:i w:val="0"/>
          <w:color w:val="000000"/>
          <w:sz w:val="32"/>
        </w:rPr>
      </w:pPr>
      <w:r>
        <w:rPr>
          <w:rFonts w:ascii="仿宋" w:hAnsi="仿宋" w:eastAsia="仿宋" w:cs="仿宋"/>
          <w:b w:val="0"/>
          <w:i w:val="0"/>
          <w:color w:val="000000"/>
          <w:sz w:val="32"/>
        </w:rPr>
        <w:t>根据学校实际，及时优化完善《中层干部选用办法和干部培养方案》，至今学校有中层及以上领导干部26人。学校合理安排领导干部、级部主任、优秀教师等进企业、赴高校进行交流学习。按照将党员教师培养成骨干教师，将骨干教师培养成党员的“双培养”机制，培养发展校级领导3人、中层干部6人，一线教师2人。分析研究形成学校人才培养方案，培养德技兼备的名师建立名师工作室2个和1个大国工匠团队，着力提高“双师型”教师比重，构建党、政、校、企多方参与的教师队伍建设体系。至今已有23名教师先后被评为市级骨干教师，组织学生参加省、市级中职学生技能大赛等，省级二等奖1项、三等奖1项，获市级多项荣誉，更好的引导青年学生发挥技能优势、创新优势，成长成才、升学就业、立足社会。以区域重点支柱产业为核心，积极开展县域产教联合体和行业产教融合共同体的实践探索，深入开展调研活动，进一步了解企业对人才需求和期望，促进校企深度融合。为毕业生创造更多就业机会。</w:t>
      </w:r>
    </w:p>
    <w:p>
      <w:pPr>
        <w:wordWrap w:val="0"/>
        <w:spacing w:before="0" w:after="0" w:line="540" w:lineRule="atLeast"/>
        <w:ind w:left="0" w:right="0" w:firstLine="640"/>
        <w:jc w:val="both"/>
        <w:textAlignment w:val="baseline"/>
        <w:rPr>
          <w:rFonts w:ascii="仿宋" w:hAnsi="仿宋" w:eastAsia="仿宋" w:cs="仿宋"/>
          <w:b w:val="0"/>
          <w:i w:val="0"/>
          <w:color w:val="000000"/>
          <w:sz w:val="32"/>
        </w:rPr>
      </w:pPr>
      <w:r>
        <w:rPr>
          <w:rFonts w:hint="eastAsia" w:ascii="仿宋" w:hAnsi="仿宋" w:eastAsia="仿宋" w:cs="仿宋"/>
          <w:b w:val="0"/>
          <w:i w:val="0"/>
          <w:color w:val="000000"/>
          <w:sz w:val="32"/>
          <w:lang w:val="en-US" w:eastAsia="zh-CN"/>
        </w:rPr>
        <w:t>三、</w:t>
      </w:r>
      <w:r>
        <w:rPr>
          <w:rFonts w:ascii="仿宋" w:hAnsi="仿宋" w:eastAsia="仿宋" w:cs="仿宋"/>
          <w:b w:val="0"/>
          <w:i w:val="0"/>
          <w:color w:val="000000"/>
          <w:sz w:val="32"/>
        </w:rPr>
        <w:t>“党建+师德教育”，打造教育发展“引路人”</w:t>
      </w:r>
    </w:p>
    <w:p>
      <w:pPr>
        <w:wordWrap w:val="0"/>
        <w:spacing w:before="0" w:after="0" w:line="540" w:lineRule="atLeast"/>
        <w:ind w:left="0" w:right="0" w:firstLine="640"/>
        <w:jc w:val="both"/>
        <w:textAlignment w:val="baseline"/>
        <w:rPr>
          <w:rFonts w:ascii="仿宋" w:hAnsi="仿宋" w:eastAsia="仿宋" w:cs="仿宋"/>
          <w:b w:val="0"/>
          <w:i w:val="0"/>
          <w:color w:val="000000"/>
          <w:sz w:val="32"/>
        </w:rPr>
      </w:pPr>
      <w:r>
        <w:rPr>
          <w:rFonts w:ascii="仿宋" w:hAnsi="仿宋" w:eastAsia="仿宋" w:cs="仿宋"/>
          <w:b w:val="0"/>
          <w:i w:val="0"/>
          <w:color w:val="000000"/>
          <w:sz w:val="32"/>
        </w:rPr>
        <w:t>各个党支部统筹工作部署，强化师德师风建设，挖掘思政元素，探索课程思政创新举措，引导开展“公开课”评比、教学能力比赛等业务比武活动，探索“青教培养”模式，安排青年教师与优秀党员教师拜师结对，不断提高青年教师成长。2023-2024年度评选出市级优秀教师1名、师德标兵2名、优秀班主任2名，优秀教育工作者6名。县级优秀教师6名、优秀职业教育工作者12名。</w:t>
      </w:r>
    </w:p>
    <w:p>
      <w:pPr>
        <w:wordWrap w:val="0"/>
        <w:spacing w:before="0" w:after="0" w:line="540" w:lineRule="atLeast"/>
        <w:ind w:left="0" w:right="0" w:firstLine="640"/>
        <w:jc w:val="both"/>
        <w:textAlignment w:val="baseline"/>
        <w:rPr>
          <w:rFonts w:ascii="仿宋" w:hAnsi="仿宋" w:eastAsia="仿宋" w:cs="仿宋"/>
          <w:b w:val="0"/>
          <w:i w:val="0"/>
          <w:color w:val="000000"/>
          <w:sz w:val="32"/>
        </w:rPr>
      </w:pPr>
      <w:r>
        <w:rPr>
          <w:rFonts w:ascii="仿宋" w:hAnsi="仿宋" w:eastAsia="仿宋" w:cs="仿宋"/>
          <w:b w:val="0"/>
          <w:i w:val="0"/>
          <w:color w:val="000000"/>
          <w:sz w:val="32"/>
        </w:rPr>
        <w:t>学校全面贯彻立德树人根本任务，坚持书记讲党课活动，发挥党员教师先锋模范作用，把思想道德和职业道德建设摆在突出位置，注重塑造教师健康人格和优秀师表形象，引导全体教师树立正确的价值观，师德师风教育和治理体系更加完善。学校设立了以纪委书记为组组长的监督检查小组，使督查监管渠道更加通畅，教师队伍素质得到进一步提升。</w:t>
      </w:r>
    </w:p>
    <w:p>
      <w:pPr>
        <w:wordWrap w:val="0"/>
        <w:spacing w:before="0" w:after="0" w:line="540" w:lineRule="atLeast"/>
        <w:ind w:left="0" w:right="0" w:firstLine="640"/>
        <w:jc w:val="both"/>
        <w:textAlignment w:val="baseline"/>
        <w:rPr>
          <w:rFonts w:ascii="仿宋" w:hAnsi="仿宋" w:eastAsia="仿宋" w:cs="仿宋"/>
          <w:b w:val="0"/>
          <w:i w:val="0"/>
          <w:color w:val="000000"/>
          <w:sz w:val="32"/>
        </w:rPr>
      </w:pPr>
      <w:r>
        <w:rPr>
          <w:rFonts w:ascii="仿宋" w:hAnsi="仿宋" w:eastAsia="仿宋" w:cs="仿宋"/>
          <w:b w:val="0"/>
          <w:i w:val="0"/>
          <w:color w:val="000000"/>
          <w:sz w:val="32"/>
        </w:rPr>
        <w:t>下一步，</w:t>
      </w:r>
      <w:r>
        <w:rPr>
          <w:rFonts w:hint="eastAsia" w:ascii="仿宋" w:hAnsi="仿宋" w:eastAsia="仿宋" w:cs="仿宋"/>
          <w:b w:val="0"/>
          <w:i w:val="0"/>
          <w:color w:val="000000"/>
          <w:sz w:val="32"/>
          <w:lang w:eastAsia="zh-CN"/>
        </w:rPr>
        <w:t>该</w:t>
      </w:r>
      <w:r>
        <w:rPr>
          <w:rFonts w:ascii="仿宋" w:hAnsi="仿宋" w:eastAsia="仿宋" w:cs="仿宋"/>
          <w:b w:val="0"/>
          <w:i w:val="0"/>
          <w:color w:val="000000"/>
          <w:sz w:val="32"/>
        </w:rPr>
        <w:t>校将继续全面落实职业教育国家教学基本文件精神。立足区域发展，打造职业教育特色党建品牌，以党的政治建设为统领，把好专业设置、人才培养方案、教材管理、实习管理、质量等方面要求，适配办学条件要求，提升育人成效，推动保障职业学校高质量发展。</w:t>
      </w:r>
    </w:p>
    <w:p>
      <w:pPr>
        <w:wordWrap w:val="0"/>
        <w:spacing w:before="0" w:after="0" w:line="540" w:lineRule="atLeast"/>
        <w:ind w:left="0" w:right="0" w:firstLine="640"/>
        <w:jc w:val="both"/>
        <w:textAlignment w:val="baseline"/>
        <w:rPr>
          <w:rFonts w:hint="eastAsia" w:ascii="楷体" w:hAnsi="楷体" w:eastAsia="楷体" w:cs="楷体"/>
          <w:b w:val="0"/>
          <w:bCs/>
          <w:kern w:val="2"/>
          <w:sz w:val="32"/>
          <w:szCs w:val="22"/>
          <w:lang w:val="en-US" w:eastAsia="zh-CN" w:bidi="ar-SA"/>
        </w:rPr>
      </w:pPr>
      <w:r>
        <w:rPr>
          <w:rFonts w:hint="default" w:ascii="楷体" w:hAnsi="楷体" w:eastAsia="楷体" w:cs="楷体"/>
          <w:b w:val="0"/>
          <w:bCs/>
          <w:kern w:val="2"/>
          <w:sz w:val="32"/>
          <w:szCs w:val="22"/>
          <w:lang w:val="en-US" w:eastAsia="zh-CN" w:bidi="ar-SA"/>
        </w:rPr>
        <w:t>3.</w:t>
      </w:r>
      <w:r>
        <w:rPr>
          <w:rFonts w:hint="eastAsia" w:ascii="楷体" w:hAnsi="楷体" w:eastAsia="楷体" w:cs="楷体"/>
          <w:b w:val="0"/>
          <w:bCs/>
          <w:kern w:val="2"/>
          <w:sz w:val="32"/>
          <w:szCs w:val="22"/>
          <w:lang w:val="en-US" w:eastAsia="zh-CN" w:bidi="ar-SA"/>
        </w:rPr>
        <w:t>约束机制</w:t>
      </w:r>
    </w:p>
    <w:p>
      <w:pPr>
        <w:wordWrap w:val="0"/>
        <w:spacing w:before="0" w:after="0" w:line="540" w:lineRule="atLeast"/>
        <w:ind w:right="0" w:firstLine="320" w:firstLineChars="100"/>
        <w:jc w:val="left"/>
        <w:textAlignment w:val="baseline"/>
        <w:rPr>
          <w:rFonts w:hint="eastAsia" w:ascii="仿宋" w:hAnsi="仿宋" w:eastAsia="仿宋" w:cs="仿宋"/>
          <w:b w:val="0"/>
          <w:bCs w:val="0"/>
          <w:i w:val="0"/>
          <w:color w:val="000000"/>
          <w:kern w:val="2"/>
          <w:sz w:val="32"/>
          <w:szCs w:val="22"/>
          <w:lang w:val="en-US" w:eastAsia="zh-CN" w:bidi="ar-SA"/>
        </w:rPr>
      </w:pPr>
      <w:r>
        <w:rPr>
          <w:rFonts w:hint="eastAsia" w:ascii="仿宋" w:hAnsi="仿宋" w:eastAsia="仿宋" w:cs="仿宋"/>
          <w:b w:val="0"/>
          <w:bCs w:val="0"/>
          <w:i w:val="0"/>
          <w:color w:val="000000"/>
          <w:kern w:val="2"/>
          <w:sz w:val="32"/>
          <w:szCs w:val="22"/>
          <w:lang w:val="en-US" w:eastAsia="zh-CN" w:bidi="ar-SA"/>
        </w:rPr>
        <w:t>（</w:t>
      </w:r>
      <w:r>
        <w:rPr>
          <w:rFonts w:hint="default" w:ascii="仿宋" w:hAnsi="仿宋" w:eastAsia="仿宋" w:cs="仿宋"/>
          <w:b w:val="0"/>
          <w:bCs w:val="0"/>
          <w:i w:val="0"/>
          <w:color w:val="000000"/>
          <w:kern w:val="2"/>
          <w:sz w:val="32"/>
          <w:szCs w:val="22"/>
          <w:lang w:val="en-US" w:eastAsia="zh-CN" w:bidi="ar-SA"/>
        </w:rPr>
        <w:t>1</w:t>
      </w:r>
      <w:r>
        <w:rPr>
          <w:rFonts w:hint="eastAsia" w:ascii="仿宋" w:hAnsi="仿宋" w:eastAsia="仿宋" w:cs="仿宋"/>
          <w:b w:val="0"/>
          <w:bCs w:val="0"/>
          <w:i w:val="0"/>
          <w:color w:val="000000"/>
          <w:kern w:val="2"/>
          <w:sz w:val="32"/>
          <w:szCs w:val="22"/>
          <w:lang w:val="en-US" w:eastAsia="zh-CN" w:bidi="ar-SA"/>
        </w:rPr>
        <w:t>）自评制度建设</w:t>
      </w:r>
    </w:p>
    <w:p>
      <w:pPr>
        <w:pStyle w:val="11"/>
        <w:numPr>
          <w:ilvl w:val="0"/>
          <w:numId w:val="0"/>
        </w:numPr>
        <w:ind w:firstLine="640" w:firstLineChars="200"/>
        <w:rPr>
          <w:rFonts w:hint="default" w:ascii="仿宋" w:hAnsi="仿宋" w:eastAsia="仿宋" w:cs="仿宋"/>
          <w:b w:val="0"/>
          <w:bCs w:val="0"/>
          <w:i w:val="0"/>
          <w:color w:val="000000"/>
          <w:kern w:val="2"/>
          <w:sz w:val="32"/>
          <w:szCs w:val="22"/>
          <w:lang w:val="en-US" w:eastAsia="zh-CN" w:bidi="ar-SA"/>
        </w:rPr>
      </w:pPr>
      <w:r>
        <w:rPr>
          <w:rFonts w:hint="eastAsia" w:ascii="仿宋" w:hAnsi="仿宋" w:eastAsia="仿宋" w:cs="仿宋"/>
          <w:b w:val="0"/>
          <w:bCs w:val="0"/>
          <w:i w:val="0"/>
          <w:color w:val="000000"/>
          <w:kern w:val="2"/>
          <w:sz w:val="32"/>
          <w:szCs w:val="22"/>
          <w:lang w:val="en-US" w:eastAsia="zh-CN" w:bidi="ar-SA"/>
        </w:rPr>
        <w:t>学校不断完善学校发展绩效考核制度，师生考评制度，使制度更加符合学校实际，得到贴切的自我考核结果，作为提升调整的基点。该校设有完善的生师评价机制，师师互评机制，专家组考评机制。执行严格严密，所得结论科学。</w:t>
      </w:r>
    </w:p>
    <w:p>
      <w:pPr>
        <w:rPr>
          <w:rFonts w:hint="eastAsia" w:ascii="仿宋" w:hAnsi="仿宋" w:eastAsia="仿宋" w:cs="仿宋"/>
          <w:b w:val="0"/>
          <w:bCs w:val="0"/>
          <w:i w:val="0"/>
          <w:color w:val="000000"/>
          <w:kern w:val="2"/>
          <w:sz w:val="32"/>
          <w:szCs w:val="22"/>
          <w:lang w:val="en-US" w:eastAsia="zh-CN" w:bidi="ar-SA"/>
        </w:rPr>
      </w:pPr>
      <w:r>
        <w:rPr>
          <w:rFonts w:hint="default" w:ascii="仿宋" w:hAnsi="仿宋" w:eastAsia="仿宋" w:cs="仿宋"/>
          <w:b w:val="0"/>
          <w:bCs w:val="0"/>
          <w:i w:val="0"/>
          <w:color w:val="000000"/>
          <w:kern w:val="2"/>
          <w:sz w:val="32"/>
          <w:szCs w:val="22"/>
          <w:lang w:val="en-US" w:eastAsia="zh-CN" w:bidi="ar-SA"/>
        </w:rPr>
        <w:t xml:space="preserve">  </w:t>
      </w:r>
      <w:r>
        <w:rPr>
          <w:rFonts w:hint="eastAsia" w:ascii="仿宋" w:hAnsi="仿宋" w:eastAsia="仿宋" w:cs="仿宋"/>
          <w:b w:val="0"/>
          <w:bCs w:val="0"/>
          <w:i w:val="0"/>
          <w:color w:val="000000"/>
          <w:kern w:val="2"/>
          <w:sz w:val="32"/>
          <w:szCs w:val="22"/>
          <w:lang w:val="en-US" w:eastAsia="zh-CN" w:bidi="ar-SA"/>
        </w:rPr>
        <w:t>（</w:t>
      </w:r>
      <w:r>
        <w:rPr>
          <w:rFonts w:hint="default" w:ascii="仿宋" w:hAnsi="仿宋" w:eastAsia="仿宋" w:cs="仿宋"/>
          <w:b w:val="0"/>
          <w:bCs w:val="0"/>
          <w:i w:val="0"/>
          <w:color w:val="000000"/>
          <w:kern w:val="2"/>
          <w:sz w:val="32"/>
          <w:szCs w:val="22"/>
          <w:lang w:val="en-US" w:eastAsia="zh-CN" w:bidi="ar-SA"/>
        </w:rPr>
        <w:t>2</w:t>
      </w:r>
      <w:r>
        <w:rPr>
          <w:rFonts w:hint="eastAsia" w:ascii="仿宋" w:hAnsi="仿宋" w:eastAsia="仿宋" w:cs="仿宋"/>
          <w:b w:val="0"/>
          <w:bCs w:val="0"/>
          <w:i w:val="0"/>
          <w:color w:val="000000"/>
          <w:kern w:val="2"/>
          <w:sz w:val="32"/>
          <w:szCs w:val="22"/>
          <w:lang w:val="en-US" w:eastAsia="zh-CN" w:bidi="ar-SA"/>
        </w:rPr>
        <w:t>）内部控制制度建设</w:t>
      </w:r>
    </w:p>
    <w:p>
      <w:pPr>
        <w:ind w:firstLine="640" w:firstLineChars="200"/>
        <w:rPr>
          <w:rFonts w:hint="eastAsia" w:ascii="仿宋" w:hAnsi="仿宋" w:eastAsia="仿宋" w:cs="仿宋"/>
          <w:b w:val="0"/>
          <w:bCs w:val="0"/>
          <w:i w:val="0"/>
          <w:color w:val="000000"/>
          <w:kern w:val="2"/>
          <w:sz w:val="32"/>
          <w:szCs w:val="22"/>
          <w:lang w:val="en-US" w:eastAsia="zh-CN" w:bidi="ar-SA"/>
        </w:rPr>
      </w:pPr>
      <w:r>
        <w:rPr>
          <w:rFonts w:hint="eastAsia" w:ascii="仿宋" w:hAnsi="仿宋" w:eastAsia="仿宋" w:cs="仿宋"/>
          <w:b w:val="0"/>
          <w:bCs w:val="0"/>
          <w:i w:val="0"/>
          <w:color w:val="000000"/>
          <w:kern w:val="2"/>
          <w:sz w:val="32"/>
          <w:szCs w:val="22"/>
          <w:lang w:val="en-US" w:eastAsia="zh-CN" w:bidi="ar-SA"/>
        </w:rPr>
        <w:t>工作风纪方面该校专设纪检书记岗位，负责本单位党风党纪监控，从日常工作抓起，防微杜渐，治于未病。</w:t>
      </w:r>
    </w:p>
    <w:p>
      <w:pPr>
        <w:pStyle w:val="11"/>
        <w:rPr>
          <w:rFonts w:hint="eastAsia" w:ascii="仿宋" w:hAnsi="仿宋" w:eastAsia="仿宋" w:cs="仿宋"/>
          <w:b w:val="0"/>
          <w:bCs w:val="0"/>
          <w:i w:val="0"/>
          <w:color w:val="000000"/>
          <w:kern w:val="2"/>
          <w:sz w:val="32"/>
          <w:szCs w:val="22"/>
          <w:lang w:val="en-US" w:eastAsia="zh-CN" w:bidi="ar-SA"/>
        </w:rPr>
      </w:pPr>
      <w:r>
        <w:rPr>
          <w:rFonts w:hint="eastAsia" w:ascii="仿宋" w:hAnsi="仿宋" w:eastAsia="仿宋" w:cs="仿宋"/>
          <w:b w:val="0"/>
          <w:bCs w:val="0"/>
          <w:i w:val="0"/>
          <w:color w:val="000000"/>
          <w:kern w:val="2"/>
          <w:sz w:val="32"/>
          <w:szCs w:val="22"/>
          <w:lang w:val="en-US" w:eastAsia="zh-CN" w:bidi="ar-SA"/>
        </w:rPr>
        <w:t>财务管理方面设有教师稽查制度，负责对资助、日常开支状况和报销业务进行审核。</w:t>
      </w:r>
    </w:p>
    <w:p>
      <w:pPr>
        <w:tabs>
          <w:tab w:val="left" w:pos="420"/>
        </w:tabs>
        <w:rPr>
          <w:rFonts w:hint="eastAsia" w:ascii="仿宋" w:hAnsi="仿宋" w:eastAsia="仿宋" w:cs="仿宋"/>
          <w:b w:val="0"/>
          <w:bCs w:val="0"/>
          <w:i w:val="0"/>
          <w:color w:val="000000"/>
          <w:kern w:val="2"/>
          <w:sz w:val="32"/>
          <w:szCs w:val="22"/>
          <w:lang w:val="en-US" w:eastAsia="zh-CN" w:bidi="ar-SA"/>
        </w:rPr>
      </w:pPr>
      <w:r>
        <w:rPr>
          <w:rFonts w:hint="default" w:ascii="仿宋" w:hAnsi="仿宋" w:eastAsia="仿宋" w:cs="仿宋"/>
          <w:b w:val="0"/>
          <w:bCs w:val="0"/>
          <w:i w:val="0"/>
          <w:color w:val="000000"/>
          <w:kern w:val="2"/>
          <w:sz w:val="32"/>
          <w:szCs w:val="22"/>
          <w:lang w:val="en-US" w:eastAsia="zh-CN" w:bidi="ar-SA"/>
        </w:rPr>
        <w:t xml:space="preserve">  </w:t>
      </w:r>
      <w:r>
        <w:rPr>
          <w:rFonts w:hint="eastAsia" w:ascii="仿宋" w:hAnsi="仿宋" w:eastAsia="仿宋" w:cs="仿宋"/>
          <w:b w:val="0"/>
          <w:bCs w:val="0"/>
          <w:i w:val="0"/>
          <w:color w:val="000000"/>
          <w:kern w:val="2"/>
          <w:sz w:val="32"/>
          <w:szCs w:val="22"/>
          <w:lang w:val="en-US" w:eastAsia="zh-CN" w:bidi="ar-SA"/>
        </w:rPr>
        <w:t>（</w:t>
      </w:r>
      <w:r>
        <w:rPr>
          <w:rFonts w:hint="default" w:ascii="仿宋" w:hAnsi="仿宋" w:eastAsia="仿宋" w:cs="仿宋"/>
          <w:b w:val="0"/>
          <w:bCs w:val="0"/>
          <w:i w:val="0"/>
          <w:color w:val="000000"/>
          <w:kern w:val="2"/>
          <w:sz w:val="32"/>
          <w:szCs w:val="22"/>
          <w:lang w:val="en-US" w:eastAsia="zh-CN" w:bidi="ar-SA"/>
        </w:rPr>
        <w:t>3</w:t>
      </w:r>
      <w:r>
        <w:rPr>
          <w:rFonts w:hint="eastAsia" w:ascii="仿宋" w:hAnsi="仿宋" w:eastAsia="仿宋" w:cs="仿宋"/>
          <w:b w:val="0"/>
          <w:bCs w:val="0"/>
          <w:i w:val="0"/>
          <w:color w:val="000000"/>
          <w:kern w:val="2"/>
          <w:sz w:val="32"/>
          <w:szCs w:val="22"/>
          <w:lang w:val="en-US" w:eastAsia="zh-CN" w:bidi="ar-SA"/>
        </w:rPr>
        <w:t>）家长评价机制</w:t>
      </w:r>
    </w:p>
    <w:p>
      <w:pPr>
        <w:pStyle w:val="11"/>
        <w:ind w:left="0" w:leftChars="0" w:firstLine="640" w:firstLineChars="200"/>
        <w:rPr>
          <w:rFonts w:hint="eastAsia" w:ascii="仿宋" w:hAnsi="仿宋" w:eastAsia="仿宋" w:cs="仿宋"/>
          <w:b w:val="0"/>
          <w:bCs w:val="0"/>
          <w:i w:val="0"/>
          <w:color w:val="000000"/>
          <w:kern w:val="2"/>
          <w:sz w:val="32"/>
          <w:szCs w:val="22"/>
          <w:lang w:val="en-US" w:eastAsia="zh-CN" w:bidi="ar-SA"/>
        </w:rPr>
      </w:pPr>
      <w:r>
        <w:rPr>
          <w:rFonts w:hint="eastAsia" w:ascii="仿宋" w:hAnsi="仿宋" w:eastAsia="仿宋" w:cs="仿宋"/>
          <w:b w:val="0"/>
          <w:bCs w:val="0"/>
          <w:i w:val="0"/>
          <w:color w:val="000000"/>
          <w:kern w:val="2"/>
          <w:sz w:val="32"/>
          <w:szCs w:val="22"/>
          <w:lang w:val="en-US" w:eastAsia="zh-CN" w:bidi="ar-SA"/>
        </w:rPr>
        <w:t>该校食堂质量和学生培养质量两方面，引入家长评价机制。主要方式是问卷调查和家长开放日活动。在周末或假期，让学生把问卷带给家长填写，然后学校进行客观地汇总，根据家长意见进行工作调整。</w:t>
      </w:r>
    </w:p>
    <w:p>
      <w:pPr>
        <w:rPr>
          <w:rFonts w:hint="eastAsia"/>
          <w:lang w:val="en-US" w:eastAsia="zh-CN"/>
        </w:rPr>
      </w:pPr>
    </w:p>
    <w:p>
      <w:pPr>
        <w:ind w:firstLine="640" w:firstLineChars="200"/>
        <w:jc w:val="center"/>
        <w:rPr>
          <w:rStyle w:val="28"/>
          <w:rFonts w:hint="default" w:ascii="Times New Roman" w:hAnsi="Times New Roman" w:eastAsia="宋体" w:cs="Times New Roman"/>
          <w:kern w:val="0"/>
          <w:sz w:val="24"/>
          <w:szCs w:val="22"/>
          <w:lang w:val="en-US" w:eastAsia="zh-CN" w:bidi="ar"/>
        </w:rPr>
      </w:pPr>
      <w:r>
        <w:rPr>
          <w:rFonts w:hint="eastAsia" w:ascii="仿宋" w:hAnsi="仿宋" w:eastAsia="仿宋" w:cs="仿宋"/>
          <w:b w:val="0"/>
          <w:bCs w:val="0"/>
          <w:i w:val="0"/>
          <w:color w:val="000000"/>
          <w:kern w:val="2"/>
          <w:sz w:val="32"/>
          <w:szCs w:val="22"/>
          <w:lang w:val="en-US" w:eastAsia="zh-CN" w:bidi="ar-SA"/>
        </w:rPr>
        <w:drawing>
          <wp:anchor distT="0" distB="0" distL="114300" distR="114300" simplePos="0" relativeHeight="251683840" behindDoc="0" locked="0" layoutInCell="1" allowOverlap="1">
            <wp:simplePos x="0" y="0"/>
            <wp:positionH relativeFrom="column">
              <wp:posOffset>3385185</wp:posOffset>
            </wp:positionH>
            <wp:positionV relativeFrom="paragraph">
              <wp:posOffset>50165</wp:posOffset>
            </wp:positionV>
            <wp:extent cx="2133600" cy="2658110"/>
            <wp:effectExtent l="0" t="0" r="0" b="8890"/>
            <wp:wrapTopAndBottom/>
            <wp:docPr id="58" name="图片 58" descr="7414e8accf31f3efd9cee8596bc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7414e8accf31f3efd9cee8596bc3561"/>
                    <pic:cNvPicPr>
                      <a:picLocks noChangeAspect="1"/>
                    </pic:cNvPicPr>
                  </pic:nvPicPr>
                  <pic:blipFill>
                    <a:blip r:embed="rId77"/>
                    <a:stretch>
                      <a:fillRect/>
                    </a:stretch>
                  </pic:blipFill>
                  <pic:spPr>
                    <a:xfrm>
                      <a:off x="0" y="0"/>
                      <a:ext cx="2133600" cy="2658110"/>
                    </a:xfrm>
                    <a:prstGeom prst="rect">
                      <a:avLst/>
                    </a:prstGeom>
                  </pic:spPr>
                </pic:pic>
              </a:graphicData>
            </a:graphic>
          </wp:anchor>
        </w:drawing>
      </w:r>
      <w:r>
        <w:rPr>
          <w:rStyle w:val="28"/>
          <w:rFonts w:hint="eastAsia" w:ascii="Times New Roman" w:hAnsi="Times New Roman" w:eastAsia="宋体" w:cs="Times New Roman"/>
          <w:kern w:val="0"/>
          <w:sz w:val="24"/>
          <w:szCs w:val="22"/>
          <w:lang w:val="en-US" w:eastAsia="zh-CN" w:bidi="ar"/>
        </w:rPr>
        <w:drawing>
          <wp:anchor distT="0" distB="0" distL="114300" distR="114300" simplePos="0" relativeHeight="251684864" behindDoc="0" locked="0" layoutInCell="1" allowOverlap="1">
            <wp:simplePos x="0" y="0"/>
            <wp:positionH relativeFrom="column">
              <wp:posOffset>-73025</wp:posOffset>
            </wp:positionH>
            <wp:positionV relativeFrom="paragraph">
              <wp:posOffset>56515</wp:posOffset>
            </wp:positionV>
            <wp:extent cx="3474085" cy="2684780"/>
            <wp:effectExtent l="0" t="0" r="635" b="12700"/>
            <wp:wrapTopAndBottom/>
            <wp:docPr id="60" name="图片 60" descr="df9d7219431f23aff789b333557f4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f9d7219431f23aff789b333557f41e"/>
                    <pic:cNvPicPr>
                      <a:picLocks noChangeAspect="1"/>
                    </pic:cNvPicPr>
                  </pic:nvPicPr>
                  <pic:blipFill>
                    <a:blip r:embed="rId78"/>
                    <a:stretch>
                      <a:fillRect/>
                    </a:stretch>
                  </pic:blipFill>
                  <pic:spPr>
                    <a:xfrm>
                      <a:off x="0" y="0"/>
                      <a:ext cx="3474085" cy="2684780"/>
                    </a:xfrm>
                    <a:prstGeom prst="rect">
                      <a:avLst/>
                    </a:prstGeom>
                  </pic:spPr>
                </pic:pic>
              </a:graphicData>
            </a:graphic>
          </wp:anchor>
        </w:drawing>
      </w:r>
      <w:r>
        <w:rPr>
          <w:rStyle w:val="28"/>
          <w:rFonts w:hint="eastAsia" w:ascii="Times New Roman" w:hAnsi="Times New Roman" w:eastAsia="宋体" w:cs="Times New Roman"/>
          <w:kern w:val="0"/>
          <w:sz w:val="24"/>
          <w:szCs w:val="22"/>
          <w:lang w:val="en-US" w:eastAsia="zh-CN" w:bidi="ar"/>
        </w:rPr>
        <w:t>图</w:t>
      </w:r>
      <w:r>
        <w:rPr>
          <w:rStyle w:val="28"/>
          <w:rFonts w:hint="default" w:ascii="Times New Roman" w:hAnsi="Times New Roman" w:eastAsia="宋体" w:cs="Times New Roman"/>
          <w:kern w:val="0"/>
          <w:sz w:val="24"/>
          <w:szCs w:val="22"/>
          <w:lang w:val="en-US" w:eastAsia="zh-CN" w:bidi="ar"/>
        </w:rPr>
        <w:t xml:space="preserve">36 </w:t>
      </w:r>
      <w:r>
        <w:rPr>
          <w:rStyle w:val="28"/>
          <w:rFonts w:hint="eastAsia" w:ascii="Times New Roman" w:hAnsi="Times New Roman" w:eastAsia="宋体" w:cs="Times New Roman"/>
          <w:kern w:val="0"/>
          <w:sz w:val="24"/>
          <w:szCs w:val="22"/>
          <w:lang w:val="en-US" w:eastAsia="zh-CN" w:bidi="ar"/>
        </w:rPr>
        <w:t>食堂安全措施</w:t>
      </w:r>
    </w:p>
    <w:p>
      <w:pPr>
        <w:ind w:firstLine="320" w:firstLineChars="100"/>
        <w:rPr>
          <w:rFonts w:hint="eastAsia" w:ascii="仿宋" w:hAnsi="仿宋" w:eastAsia="仿宋" w:cs="仿宋"/>
          <w:b w:val="0"/>
          <w:bCs w:val="0"/>
          <w:i w:val="0"/>
          <w:color w:val="000000"/>
          <w:kern w:val="2"/>
          <w:sz w:val="32"/>
          <w:szCs w:val="22"/>
          <w:lang w:val="en-US" w:eastAsia="zh-CN" w:bidi="ar-SA"/>
        </w:rPr>
      </w:pPr>
      <w:r>
        <w:rPr>
          <w:rFonts w:hint="eastAsia" w:ascii="仿宋" w:hAnsi="仿宋" w:eastAsia="仿宋" w:cs="仿宋"/>
          <w:b w:val="0"/>
          <w:bCs w:val="0"/>
          <w:i w:val="0"/>
          <w:color w:val="000000"/>
          <w:kern w:val="2"/>
          <w:sz w:val="32"/>
          <w:szCs w:val="22"/>
          <w:lang w:val="en-US" w:eastAsia="zh-CN" w:bidi="ar-SA"/>
        </w:rPr>
        <w:t>（</w:t>
      </w:r>
      <w:r>
        <w:rPr>
          <w:rFonts w:hint="default" w:ascii="仿宋" w:hAnsi="仿宋" w:eastAsia="仿宋" w:cs="仿宋"/>
          <w:b w:val="0"/>
          <w:bCs w:val="0"/>
          <w:i w:val="0"/>
          <w:color w:val="000000"/>
          <w:kern w:val="2"/>
          <w:sz w:val="32"/>
          <w:szCs w:val="22"/>
          <w:lang w:val="en-US" w:eastAsia="zh-CN" w:bidi="ar-SA"/>
        </w:rPr>
        <w:t>4</w:t>
      </w:r>
      <w:r>
        <w:rPr>
          <w:rFonts w:hint="eastAsia" w:ascii="仿宋" w:hAnsi="仿宋" w:eastAsia="仿宋" w:cs="仿宋"/>
          <w:b w:val="0"/>
          <w:bCs w:val="0"/>
          <w:i w:val="0"/>
          <w:color w:val="000000"/>
          <w:kern w:val="2"/>
          <w:sz w:val="32"/>
          <w:szCs w:val="22"/>
          <w:lang w:val="en-US" w:eastAsia="zh-CN" w:bidi="ar-SA"/>
        </w:rPr>
        <w:t>）用人单位评价机制</w:t>
      </w:r>
    </w:p>
    <w:p>
      <w:pPr>
        <w:ind w:firstLine="640" w:firstLineChars="200"/>
        <w:rPr>
          <w:rFonts w:hint="default" w:ascii="仿宋" w:hAnsi="仿宋" w:eastAsia="仿宋" w:cs="仿宋"/>
          <w:b w:val="0"/>
          <w:bCs w:val="0"/>
          <w:i w:val="0"/>
          <w:color w:val="000000"/>
          <w:kern w:val="2"/>
          <w:sz w:val="32"/>
          <w:szCs w:val="22"/>
          <w:lang w:val="en-US" w:eastAsia="zh-CN" w:bidi="ar-SA"/>
        </w:rPr>
      </w:pPr>
      <w:r>
        <w:rPr>
          <w:rFonts w:hint="eastAsia" w:ascii="仿宋" w:hAnsi="仿宋" w:eastAsia="仿宋" w:cs="仿宋"/>
          <w:b w:val="0"/>
          <w:bCs w:val="0"/>
          <w:i w:val="0"/>
          <w:color w:val="000000"/>
          <w:kern w:val="2"/>
          <w:sz w:val="32"/>
          <w:szCs w:val="22"/>
          <w:lang w:val="en-US" w:eastAsia="zh-CN" w:bidi="ar-SA"/>
        </w:rPr>
        <w:t>这个评价机制主要目的是调整学校培养方案。中职学生培养目的主要是帮助学生掌握适合企业需要地生产技能，而企业地需求是随着市场需要不断变化，企业作为市场体验地第一方，对市场把握更加准确。因此，该校始终保持与用人单位地联系，以便及时调整专业培养方案。</w:t>
      </w:r>
    </w:p>
    <w:bookmarkEnd w:id="145"/>
    <w:p>
      <w:pPr>
        <w:spacing w:line="560" w:lineRule="exact"/>
        <w:ind w:firstLine="640" w:firstLineChars="200"/>
        <w:rPr>
          <w:rFonts w:hint="eastAsia" w:ascii="楷体_GB2312" w:hAnsi="仿宋" w:eastAsia="楷体_GB2312" w:cs="仿宋"/>
          <w:sz w:val="32"/>
          <w:szCs w:val="32"/>
        </w:rPr>
      </w:pPr>
      <w:r>
        <w:rPr>
          <w:rFonts w:hint="default" w:ascii="楷体" w:hAnsi="楷体" w:eastAsia="楷体" w:cs="楷体"/>
          <w:b w:val="0"/>
          <w:bCs/>
          <w:kern w:val="2"/>
          <w:sz w:val="32"/>
          <w:szCs w:val="22"/>
          <w:lang w:val="en-US" w:eastAsia="zh-CN" w:bidi="ar-SA"/>
        </w:rPr>
        <w:t>4.</w:t>
      </w:r>
      <w:r>
        <w:rPr>
          <w:rFonts w:hint="eastAsia" w:ascii="楷体" w:hAnsi="楷体" w:eastAsia="楷体" w:cs="楷体"/>
          <w:b w:val="0"/>
          <w:bCs/>
          <w:kern w:val="2"/>
          <w:sz w:val="32"/>
          <w:szCs w:val="22"/>
          <w:lang w:val="en-US" w:eastAsia="zh-CN" w:bidi="ar-SA"/>
        </w:rPr>
        <w:t>干部队伍</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11名校级领导均是本科学历，校长是学士学位，平均年龄46岁，职业教育教学管理经验丰富，对职业教育把握深刻。</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15名中层领导干部，均具备本科以上学历，其中五名具有学士学位。年龄层次分布均衡，涵盖了35-40岁、45-50岁及50-55岁三个年龄段，</w:t>
      </w:r>
      <w:r>
        <w:rPr>
          <w:rFonts w:hint="eastAsia" w:ascii="仿宋" w:hAnsi="仿宋" w:eastAsia="仿宋" w:cs="仿宋"/>
          <w:sz w:val="32"/>
          <w:szCs w:val="32"/>
          <w:lang w:eastAsia="zh-CN"/>
        </w:rPr>
        <w:t>该</w:t>
      </w:r>
      <w:r>
        <w:rPr>
          <w:rFonts w:hint="eastAsia" w:ascii="仿宋" w:hAnsi="仿宋" w:eastAsia="仿宋" w:cs="仿宋"/>
          <w:sz w:val="32"/>
          <w:szCs w:val="32"/>
        </w:rPr>
        <w:t>校现有中层干部岗位到期施行公开竞聘，坚持德才兼备、群众认可、注重实干原则，构建能上能下、竞争择优的用人制度，例如《涿鹿县职业技术教育中心干部培养制度》、《涿鹿县职业技术教育中心后备干部培养方案》，2023年修订的《涿鹿县职业技术教育中心校级中层干部竞聘上岗方案》等。</w:t>
      </w:r>
    </w:p>
    <w:p>
      <w:pPr>
        <w:spacing w:line="560" w:lineRule="exact"/>
        <w:ind w:firstLine="640" w:firstLineChars="200"/>
        <w:rPr>
          <w:rFonts w:hint="eastAsia" w:ascii="楷体" w:hAnsi="楷体" w:eastAsia="楷体" w:cs="楷体"/>
          <w:b w:val="0"/>
          <w:bCs/>
          <w:kern w:val="2"/>
          <w:sz w:val="32"/>
          <w:szCs w:val="22"/>
          <w:lang w:val="en-US" w:eastAsia="zh-CN" w:bidi="ar-SA"/>
        </w:rPr>
      </w:pPr>
      <w:r>
        <w:rPr>
          <w:rFonts w:hint="default" w:ascii="楷体" w:hAnsi="楷体" w:eastAsia="楷体" w:cs="楷体"/>
          <w:b w:val="0"/>
          <w:bCs/>
          <w:kern w:val="2"/>
          <w:sz w:val="32"/>
          <w:szCs w:val="22"/>
          <w:lang w:val="en-US" w:eastAsia="zh-CN" w:bidi="ar-SA"/>
        </w:rPr>
        <w:t>5.</w:t>
      </w:r>
      <w:r>
        <w:rPr>
          <w:rFonts w:hint="eastAsia" w:ascii="楷体" w:hAnsi="楷体" w:eastAsia="楷体" w:cs="楷体"/>
          <w:b w:val="0"/>
          <w:bCs/>
          <w:kern w:val="2"/>
          <w:sz w:val="32"/>
          <w:szCs w:val="22"/>
          <w:lang w:val="en-US" w:eastAsia="zh-CN" w:bidi="ar-SA"/>
        </w:rPr>
        <w:t>遵纪守法</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通过强化领导班子建设，明确党委主体责任，创新基层党组织建设，以及建立健全廉洁岗位机制等一系列措施，</w:t>
      </w:r>
      <w:r>
        <w:rPr>
          <w:rFonts w:hint="eastAsia" w:ascii="仿宋" w:hAnsi="仿宋" w:eastAsia="仿宋" w:cs="仿宋"/>
          <w:sz w:val="32"/>
          <w:szCs w:val="32"/>
          <w:lang w:eastAsia="zh-CN"/>
        </w:rPr>
        <w:t>该</w:t>
      </w:r>
      <w:r>
        <w:rPr>
          <w:rFonts w:hint="eastAsia" w:ascii="仿宋" w:hAnsi="仿宋" w:eastAsia="仿宋" w:cs="仿宋"/>
          <w:sz w:val="32"/>
          <w:szCs w:val="32"/>
        </w:rPr>
        <w:t>校构建了一套“规范、特色”的“党建+”工作体系，把党建工作更加深刻地与</w:t>
      </w:r>
      <w:r>
        <w:rPr>
          <w:rFonts w:hint="eastAsia" w:ascii="仿宋" w:hAnsi="仿宋" w:eastAsia="仿宋" w:cs="仿宋"/>
          <w:sz w:val="32"/>
          <w:szCs w:val="32"/>
          <w:lang w:eastAsia="zh-CN"/>
        </w:rPr>
        <w:t>该</w:t>
      </w:r>
      <w:r>
        <w:rPr>
          <w:rFonts w:hint="eastAsia" w:ascii="仿宋" w:hAnsi="仿宋" w:eastAsia="仿宋" w:cs="仿宋"/>
          <w:sz w:val="32"/>
          <w:szCs w:val="32"/>
        </w:rPr>
        <w:t>校“组织壁垒”、“人才培养”、“师德教育”工作结合，不断提升党建在</w:t>
      </w:r>
      <w:r>
        <w:rPr>
          <w:rFonts w:hint="eastAsia" w:ascii="仿宋" w:hAnsi="仿宋" w:eastAsia="仿宋" w:cs="仿宋"/>
          <w:sz w:val="32"/>
          <w:szCs w:val="32"/>
          <w:lang w:eastAsia="zh-CN"/>
        </w:rPr>
        <w:t>该</w:t>
      </w:r>
      <w:r>
        <w:rPr>
          <w:rFonts w:hint="eastAsia" w:ascii="仿宋" w:hAnsi="仿宋" w:eastAsia="仿宋" w:cs="仿宋"/>
          <w:sz w:val="32"/>
          <w:szCs w:val="32"/>
        </w:rPr>
        <w:t>校工作的引领地位，为打造“全市领先、全省一流、全国知名”的职业强校目标奠定了坚实的领导基础。</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在党建工作方面，坚决贯彻落实党的二十大精神，</w:t>
      </w:r>
      <w:r>
        <w:rPr>
          <w:rFonts w:hint="eastAsia" w:ascii="仿宋" w:hAnsi="仿宋" w:eastAsia="仿宋" w:cs="仿宋"/>
          <w:sz w:val="32"/>
          <w:szCs w:val="32"/>
          <w:lang w:eastAsia="zh-CN"/>
        </w:rPr>
        <w:t>该</w:t>
      </w:r>
      <w:r>
        <w:rPr>
          <w:rFonts w:hint="eastAsia" w:ascii="仿宋" w:hAnsi="仿宋" w:eastAsia="仿宋" w:cs="仿宋"/>
          <w:sz w:val="32"/>
          <w:szCs w:val="32"/>
        </w:rPr>
        <w:t>校党委将以习近平新时代中国特色社会主义思想为指导，全面贯彻落实党的二十大和二十届二中、三中全会精神，深入学习贯彻习近平总书记关于党的建设的重要思想，深刻领悟“两个确立”的决定性意义，增强“四个意识”、坚定“四个自信”、做到“两个维护”，紧紧围绕“办人民满意职业教育”目标，形成以党委领导，校长负责，两部管理，依法治校，社会参与</w:t>
      </w:r>
      <w:r>
        <w:rPr>
          <w:rFonts w:hint="eastAsia" w:ascii="仿宋" w:hAnsi="仿宋" w:eastAsia="仿宋" w:cs="仿宋"/>
          <w:sz w:val="32"/>
          <w:szCs w:val="32"/>
          <w:lang w:eastAsia="zh-CN"/>
        </w:rPr>
        <w:t>该</w:t>
      </w:r>
      <w:r>
        <w:rPr>
          <w:rFonts w:hint="eastAsia" w:ascii="仿宋" w:hAnsi="仿宋" w:eastAsia="仿宋" w:cs="仿宋"/>
          <w:sz w:val="32"/>
          <w:szCs w:val="32"/>
        </w:rPr>
        <w:t>校管理的机制。</w:t>
      </w:r>
    </w:p>
    <w:p>
      <w:pPr>
        <w:spacing w:line="560" w:lineRule="exact"/>
        <w:ind w:firstLine="640" w:firstLineChars="200"/>
        <w:rPr>
          <w:rFonts w:hint="eastAsia" w:ascii="仿宋_GB2312" w:hAnsi="仿宋_GB2312" w:eastAsia="仿宋_GB2312" w:cs="仿宋_GB2312"/>
          <w:sz w:val="32"/>
          <w:szCs w:val="32"/>
        </w:rPr>
      </w:pPr>
      <w:r>
        <w:rPr>
          <w:rFonts w:hint="eastAsia" w:ascii="仿宋" w:hAnsi="仿宋" w:eastAsia="仿宋" w:cs="仿宋"/>
          <w:sz w:val="32"/>
          <w:szCs w:val="32"/>
        </w:rPr>
        <w:t>通过全员讨论，结合</w:t>
      </w:r>
      <w:r>
        <w:rPr>
          <w:rFonts w:hint="eastAsia" w:ascii="仿宋" w:hAnsi="仿宋" w:eastAsia="仿宋" w:cs="仿宋"/>
          <w:sz w:val="32"/>
          <w:szCs w:val="32"/>
          <w:lang w:eastAsia="zh-CN"/>
        </w:rPr>
        <w:t>该</w:t>
      </w:r>
      <w:r>
        <w:rPr>
          <w:rFonts w:hint="eastAsia" w:ascii="仿宋" w:hAnsi="仿宋" w:eastAsia="仿宋" w:cs="仿宋"/>
          <w:sz w:val="32"/>
          <w:szCs w:val="32"/>
        </w:rPr>
        <w:t>校实情，建立了以《涿鹿县职业技术教育中心学校章程》为核心的现代</w:t>
      </w:r>
      <w:r>
        <w:rPr>
          <w:rFonts w:hint="eastAsia" w:ascii="仿宋" w:hAnsi="仿宋" w:eastAsia="仿宋" w:cs="仿宋"/>
          <w:sz w:val="32"/>
          <w:szCs w:val="32"/>
          <w:lang w:eastAsia="zh-CN"/>
        </w:rPr>
        <w:t>中职</w:t>
      </w:r>
      <w:r>
        <w:rPr>
          <w:rFonts w:hint="eastAsia" w:ascii="仿宋" w:hAnsi="仿宋" w:eastAsia="仿宋" w:cs="仿宋"/>
          <w:sz w:val="32"/>
          <w:szCs w:val="32"/>
        </w:rPr>
        <w:t>制度体系，本年度新增制定党建、财务管理、教师培养、校园安全和校企合作五方面共计15项制度，为</w:t>
      </w:r>
      <w:r>
        <w:rPr>
          <w:rFonts w:hint="eastAsia" w:ascii="仿宋" w:hAnsi="仿宋" w:eastAsia="仿宋" w:cs="仿宋"/>
          <w:sz w:val="32"/>
          <w:szCs w:val="32"/>
          <w:lang w:eastAsia="zh-CN"/>
        </w:rPr>
        <w:t>该</w:t>
      </w:r>
      <w:r>
        <w:rPr>
          <w:rFonts w:hint="eastAsia" w:ascii="仿宋" w:hAnsi="仿宋" w:eastAsia="仿宋" w:cs="仿宋"/>
          <w:sz w:val="32"/>
          <w:szCs w:val="32"/>
        </w:rPr>
        <w:t>校的持续健康发展提供了有力保障。</w:t>
      </w:r>
    </w:p>
    <w:p>
      <w:pPr>
        <w:keepNext w:val="0"/>
        <w:keepLines w:val="0"/>
        <w:pageBreakBefore w:val="0"/>
        <w:widowControl/>
        <w:suppressLineNumbers w:val="0"/>
        <w:kinsoku/>
        <w:wordWrap/>
        <w:overflowPunct/>
        <w:topLinePunct w:val="0"/>
        <w:autoSpaceDE/>
        <w:autoSpaceDN/>
        <w:bidi w:val="0"/>
        <w:adjustRightInd/>
        <w:snapToGrid/>
        <w:ind w:firstLine="482" w:firstLineChars="200"/>
        <w:jc w:val="left"/>
        <w:textAlignment w:val="auto"/>
        <w:rPr>
          <w:rFonts w:hint="eastAsia" w:ascii="仿宋" w:hAnsi="仿宋" w:eastAsia="仿宋" w:cs="仿宋"/>
          <w:b/>
          <w:bCs/>
          <w:kern w:val="2"/>
          <w:sz w:val="24"/>
          <w:szCs w:val="24"/>
          <w:lang w:val="en-US" w:eastAsia="zh-CN" w:bidi="ar-SA"/>
        </w:rPr>
      </w:pPr>
    </w:p>
    <w:p>
      <w:pPr>
        <w:keepNext w:val="0"/>
        <w:keepLines w:val="0"/>
        <w:pageBreakBefore w:val="0"/>
        <w:widowControl/>
        <w:suppressLineNumbers w:val="0"/>
        <w:kinsoku/>
        <w:wordWrap/>
        <w:overflowPunct/>
        <w:topLinePunct w:val="0"/>
        <w:autoSpaceDE/>
        <w:autoSpaceDN/>
        <w:bidi w:val="0"/>
        <w:adjustRightInd/>
        <w:snapToGrid/>
        <w:ind w:firstLine="482" w:firstLineChars="200"/>
        <w:jc w:val="left"/>
        <w:textAlignment w:val="auto"/>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典型案例</w:t>
      </w:r>
      <w:r>
        <w:rPr>
          <w:rFonts w:hint="default" w:ascii="仿宋" w:hAnsi="仿宋" w:eastAsia="仿宋" w:cs="仿宋"/>
          <w:b/>
          <w:bCs/>
          <w:kern w:val="2"/>
          <w:sz w:val="24"/>
          <w:szCs w:val="24"/>
          <w:lang w:val="en-US" w:eastAsia="zh-CN" w:bidi="ar-SA"/>
        </w:rPr>
        <w:t>17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jc w:val="center"/>
        <w:outlineLvl w:val="9"/>
        <w:rPr>
          <w:rFonts w:hint="eastAsia" w:ascii="仿宋" w:hAnsi="仿宋" w:eastAsia="仿宋" w:cs="仿宋"/>
          <w:b w:val="0"/>
          <w:kern w:val="2"/>
          <w:sz w:val="32"/>
          <w:szCs w:val="32"/>
          <w:lang w:val="en-US" w:eastAsia="zh-CN" w:bidi="ar-SA"/>
        </w:rPr>
      </w:pPr>
      <w:r>
        <w:rPr>
          <w:rFonts w:hint="eastAsia" w:ascii="仿宋" w:hAnsi="仿宋" w:eastAsia="仿宋" w:cs="仿宋"/>
          <w:b w:val="0"/>
          <w:kern w:val="2"/>
          <w:sz w:val="32"/>
          <w:szCs w:val="32"/>
          <w:lang w:val="en-US" w:eastAsia="zh-CN" w:bidi="ar-SA"/>
        </w:rPr>
        <w:t>涿鹿县职教中心召开群众身边不正之风和腐败问题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jc w:val="center"/>
        <w:outlineLvl w:val="9"/>
        <w:rPr>
          <w:rFonts w:hint="eastAsia" w:ascii="仿宋" w:hAnsi="仿宋" w:eastAsia="仿宋" w:cs="仿宋"/>
          <w:b w:val="0"/>
          <w:kern w:val="2"/>
          <w:sz w:val="32"/>
          <w:szCs w:val="32"/>
          <w:lang w:val="en-US" w:eastAsia="zh-CN" w:bidi="ar-SA"/>
        </w:rPr>
      </w:pPr>
      <w:r>
        <w:rPr>
          <w:rFonts w:hint="eastAsia" w:ascii="仿宋" w:hAnsi="仿宋" w:eastAsia="仿宋" w:cs="仿宋"/>
          <w:b w:val="0"/>
          <w:kern w:val="2"/>
          <w:sz w:val="32"/>
          <w:szCs w:val="32"/>
          <w:lang w:val="en-US" w:eastAsia="zh-CN" w:bidi="ar-SA"/>
        </w:rPr>
        <w:t>集中整治工作会</w:t>
      </w:r>
    </w:p>
    <w:p>
      <w:pPr>
        <w:spacing w:line="560" w:lineRule="exact"/>
        <w:ind w:firstLine="720" w:firstLineChars="300"/>
        <w:rPr>
          <w:rFonts w:hint="eastAsia" w:ascii="仿宋_GB2312" w:hAnsi="仿宋" w:eastAsia="仿宋_GB2312" w:cs="仿宋"/>
          <w:sz w:val="32"/>
          <w:szCs w:val="32"/>
          <w:lang w:val="en-US" w:eastAsia="zh-CN"/>
        </w:rPr>
      </w:pPr>
      <w:r>
        <w:rPr>
          <w:rFonts w:hint="eastAsia" w:ascii="仿宋" w:hAnsi="仿宋" w:eastAsia="仿宋" w:cs="仿宋"/>
          <w:kern w:val="0"/>
          <w:sz w:val="24"/>
          <w:szCs w:val="24"/>
          <w:lang w:val="en-US" w:eastAsia="zh-CN" w:bidi="ar"/>
        </w:rPr>
        <w:drawing>
          <wp:anchor distT="0" distB="0" distL="114300" distR="114300" simplePos="0" relativeHeight="251688960" behindDoc="0" locked="0" layoutInCell="1" allowOverlap="1">
            <wp:simplePos x="0" y="0"/>
            <wp:positionH relativeFrom="column">
              <wp:posOffset>228600</wp:posOffset>
            </wp:positionH>
            <wp:positionV relativeFrom="paragraph">
              <wp:posOffset>471170</wp:posOffset>
            </wp:positionV>
            <wp:extent cx="5317490" cy="3721735"/>
            <wp:effectExtent l="0" t="0" r="1270" b="12065"/>
            <wp:wrapTopAndBottom/>
            <wp:docPr id="68" name="图片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descr="IMG_257"/>
                    <pic:cNvPicPr>
                      <a:picLocks noChangeAspect="1"/>
                    </pic:cNvPicPr>
                  </pic:nvPicPr>
                  <pic:blipFill>
                    <a:blip r:embed="rId79"/>
                    <a:stretch>
                      <a:fillRect/>
                    </a:stretch>
                  </pic:blipFill>
                  <pic:spPr>
                    <a:xfrm>
                      <a:off x="0" y="0"/>
                      <a:ext cx="5317490" cy="3721735"/>
                    </a:xfrm>
                    <a:prstGeom prst="rect">
                      <a:avLst/>
                    </a:prstGeom>
                    <a:noFill/>
                    <a:ln w="9525">
                      <a:noFill/>
                    </a:ln>
                  </pic:spPr>
                </pic:pic>
              </a:graphicData>
            </a:graphic>
          </wp:anchor>
        </w:drawing>
      </w:r>
      <w:r>
        <w:rPr>
          <w:rFonts w:hint="eastAsia" w:ascii="仿宋" w:hAnsi="仿宋" w:eastAsia="仿宋" w:cs="仿宋"/>
          <w:sz w:val="32"/>
          <w:szCs w:val="32"/>
          <w:lang w:val="en-US" w:eastAsia="zh-CN"/>
        </w:rPr>
        <w:t>近日，为深入落实省、市、县纪委监委以及县教体局群众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jc w:val="center"/>
        <w:outlineLvl w:val="9"/>
        <w:rPr>
          <w:rFonts w:hint="eastAsia" w:ascii="仿宋_GB2312" w:hAnsi="仿宋" w:eastAsia="仿宋_GB2312" w:cs="仿宋"/>
          <w:b w:val="0"/>
          <w:kern w:val="2"/>
          <w:sz w:val="32"/>
          <w:szCs w:val="32"/>
          <w:lang w:val="en-US" w:eastAsia="zh-CN" w:bidi="ar-SA"/>
        </w:rPr>
      </w:pPr>
      <w:r>
        <w:rPr>
          <w:rStyle w:val="28"/>
          <w:rFonts w:hint="eastAsia" w:ascii="Times New Roman" w:hAnsi="Times New Roman" w:eastAsia="宋体" w:cs="Times New Roman"/>
          <w:b/>
          <w:kern w:val="0"/>
          <w:sz w:val="24"/>
          <w:szCs w:val="22"/>
          <w:lang w:val="en-US" w:eastAsia="zh-CN" w:bidi="ar"/>
        </w:rPr>
        <w:t>图</w:t>
      </w:r>
      <w:r>
        <w:rPr>
          <w:rStyle w:val="28"/>
          <w:rFonts w:hint="default" w:ascii="Times New Roman" w:hAnsi="Times New Roman" w:eastAsia="宋体" w:cs="Times New Roman"/>
          <w:b/>
          <w:kern w:val="0"/>
          <w:sz w:val="24"/>
          <w:szCs w:val="22"/>
          <w:lang w:val="en-US" w:eastAsia="zh-CN" w:bidi="ar"/>
        </w:rPr>
        <w:t>36</w:t>
      </w:r>
      <w:r>
        <w:rPr>
          <w:rStyle w:val="28"/>
          <w:rFonts w:hint="default" w:ascii="Times New Roman" w:hAnsi="Times New Roman" w:cs="Times New Roman"/>
          <w:b/>
          <w:kern w:val="0"/>
          <w:sz w:val="24"/>
          <w:szCs w:val="22"/>
          <w:lang w:val="en-US" w:eastAsia="zh-CN" w:bidi="ar"/>
        </w:rPr>
        <w:t xml:space="preserve"> </w:t>
      </w:r>
      <w:r>
        <w:rPr>
          <w:rStyle w:val="28"/>
          <w:rFonts w:hint="eastAsia" w:ascii="Times New Roman" w:hAnsi="Times New Roman" w:eastAsia="宋体" w:cs="Times New Roman"/>
          <w:b/>
          <w:kern w:val="0"/>
          <w:sz w:val="24"/>
          <w:szCs w:val="22"/>
          <w:lang w:val="en-US" w:eastAsia="zh-CN" w:bidi="ar"/>
        </w:rPr>
        <w:t>群众身边不正之风和腐败问题集中整治工作会</w:t>
      </w:r>
    </w:p>
    <w:p>
      <w:pPr>
        <w:spacing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身边不正之风和腐败问题集中整治部署要求，聚焦教育系统群众反映强烈的共性问题，涿鹿县职教中心立足工作实际，召集中层及以上领导干部和专业负责人召开群众身边不正之风和腐败问题集中整治工作会，持续推进和强化校园霸凌、食品安全专项整治工作。该校党委书记陈立东主持会议并作总结发言。校长孟庆泉对两项整治进行具体部署。纪检书记石玉生宣读县纪检委提醒函。</w:t>
      </w:r>
    </w:p>
    <w:p>
      <w:p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会上，孟庆泉详细传达并解读了《涿鹿县教育和体育局关于开展校园霸凌食品安全集中整治实施方案》（下面称《方案》），就学校关于防范治理校园霸凌责任落实是否到位，对未成年学生违反校风校纪甚至违法犯罪行为是否存在失察失管失教，学校食堂环境卫生、加工操作、原料储备、清洗消毒、有害生物防治等方面还存在哪些问题进行了认真分析，对相关牵头科室如何在之前取得的工作成效基础上将此次集中整治做到更全更细更彻底、百分百落实好《方案》提出了明确意见和建议。孟庆泉还强调，要将预防校园霸凌、预防未成年人犯罪、反电诈和两卡犯罪等相关教育和管理工作有机融合到一起有效开展。</w:t>
      </w:r>
    </w:p>
    <w:p>
      <w:p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石玉生宣读了中共涿鹿县纪律检查委员会办公室关于“五一”至“端午”期间四风问题明察暗访工作发出的《提醒函》，要求学校和全体党员干部一要严守工作纪律，履行工作职责；二要落实财务制度，严管资金使用；三要坚持勤俭节约，杜绝大操大办。</w:t>
      </w:r>
    </w:p>
    <w:p>
      <w:p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陈立东强调，全体党员干部、各科室负责人、各专业负责人要统一思想统一认识，把此次集中纠治群众反映强烈的教育领域不正之风作为首要政治任务来抓，以“严”的基调始终保持底线思维、红线意识、规矩意识。坚决杜绝招生乱收费，全面做好毕业季学生管理与服务工作，强化学生课堂纪律和考勤制度的落实与不断优化，下大力抓好师德师风建设工作，建立各项管理长效机制。所有人要时刻注意自身行为，严格落实工作要求，压实工作责任，守好职教人良好形象，尽好职、履好责，为推动学校高质量发展贡献力量。</w:t>
      </w:r>
    </w:p>
    <w:p>
      <w:pPr>
        <w:keepNext w:val="0"/>
        <w:keepLines w:val="0"/>
        <w:pageBreakBefore w:val="0"/>
        <w:widowControl/>
        <w:suppressLineNumbers w:val="0"/>
        <w:kinsoku/>
        <w:wordWrap/>
        <w:overflowPunct/>
        <w:topLinePunct w:val="0"/>
        <w:autoSpaceDE/>
        <w:autoSpaceDN/>
        <w:bidi w:val="0"/>
        <w:adjustRightInd/>
        <w:snapToGrid/>
        <w:ind w:firstLine="482" w:firstLineChars="200"/>
        <w:jc w:val="left"/>
        <w:textAlignment w:val="auto"/>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典型案例</w:t>
      </w:r>
      <w:r>
        <w:rPr>
          <w:rFonts w:hint="default" w:ascii="仿宋" w:hAnsi="仿宋" w:eastAsia="仿宋" w:cs="仿宋"/>
          <w:b/>
          <w:bCs/>
          <w:kern w:val="2"/>
          <w:sz w:val="24"/>
          <w:szCs w:val="24"/>
          <w:lang w:val="en-US" w:eastAsia="zh-CN" w:bidi="ar-SA"/>
        </w:rPr>
        <w:t>18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jc w:val="center"/>
        <w:outlineLvl w:val="9"/>
        <w:rPr>
          <w:rFonts w:hint="eastAsia" w:ascii="仿宋" w:hAnsi="仿宋" w:eastAsia="仿宋" w:cs="仿宋"/>
          <w:b w:val="0"/>
          <w:kern w:val="2"/>
          <w:sz w:val="32"/>
          <w:szCs w:val="32"/>
          <w:lang w:val="en-US" w:eastAsia="zh-CN" w:bidi="ar-SA"/>
        </w:rPr>
      </w:pPr>
      <w:r>
        <w:rPr>
          <w:rFonts w:hint="eastAsia" w:ascii="仿宋" w:hAnsi="仿宋" w:eastAsia="仿宋" w:cs="仿宋"/>
          <w:b w:val="0"/>
          <w:kern w:val="2"/>
          <w:sz w:val="32"/>
          <w:szCs w:val="32"/>
          <w:lang w:val="en-US" w:eastAsia="zh-CN" w:bidi="ar-SA"/>
        </w:rPr>
        <w:t>中共涿鹿县职业技术教育中心委员会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jc w:val="center"/>
        <w:outlineLvl w:val="9"/>
        <w:rPr>
          <w:rFonts w:hint="eastAsia" w:ascii="仿宋" w:hAnsi="仿宋" w:eastAsia="仿宋" w:cs="仿宋"/>
          <w:b w:val="0"/>
          <w:kern w:val="2"/>
          <w:sz w:val="32"/>
          <w:szCs w:val="32"/>
          <w:lang w:val="en-US" w:eastAsia="zh-CN" w:bidi="ar-SA"/>
        </w:rPr>
      </w:pPr>
      <w:r>
        <w:rPr>
          <w:rFonts w:hint="eastAsia" w:ascii="仿宋" w:hAnsi="仿宋" w:eastAsia="仿宋" w:cs="仿宋"/>
          <w:b w:val="0"/>
          <w:kern w:val="2"/>
          <w:sz w:val="32"/>
          <w:szCs w:val="32"/>
          <w:lang w:val="en-US" w:eastAsia="zh-CN" w:bidi="ar-SA"/>
        </w:rPr>
        <w:t>举行党纪学习教育读书班开班仪式</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720" w:firstLineChars="300"/>
        <w:textAlignment w:val="auto"/>
        <w:rPr>
          <w:rFonts w:hint="eastAsia" w:ascii="仿宋" w:hAnsi="仿宋" w:eastAsia="仿宋" w:cs="仿宋"/>
          <w:b w:val="0"/>
          <w:kern w:val="2"/>
          <w:sz w:val="32"/>
          <w:szCs w:val="32"/>
          <w:lang w:val="en-US" w:eastAsia="zh-CN" w:bidi="ar-SA"/>
        </w:rPr>
      </w:pPr>
      <w:r>
        <w:rPr>
          <w:rFonts w:hint="eastAsia" w:ascii="仿宋" w:hAnsi="仿宋" w:eastAsia="仿宋" w:cs="仿宋"/>
          <w:kern w:val="0"/>
          <w:sz w:val="24"/>
          <w:szCs w:val="24"/>
          <w:lang w:val="en-US" w:eastAsia="zh-CN" w:bidi="ar"/>
        </w:rPr>
        <w:drawing>
          <wp:anchor distT="0" distB="0" distL="114300" distR="114300" simplePos="0" relativeHeight="251689984" behindDoc="0" locked="0" layoutInCell="1" allowOverlap="1">
            <wp:simplePos x="0" y="0"/>
            <wp:positionH relativeFrom="column">
              <wp:posOffset>350520</wp:posOffset>
            </wp:positionH>
            <wp:positionV relativeFrom="paragraph">
              <wp:posOffset>1283970</wp:posOffset>
            </wp:positionV>
            <wp:extent cx="5288915" cy="3456940"/>
            <wp:effectExtent l="0" t="0" r="14605" b="2540"/>
            <wp:wrapTopAndBottom/>
            <wp:docPr id="72"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 descr="IMG_256"/>
                    <pic:cNvPicPr>
                      <a:picLocks noChangeAspect="1"/>
                    </pic:cNvPicPr>
                  </pic:nvPicPr>
                  <pic:blipFill>
                    <a:blip r:embed="rId80"/>
                    <a:stretch>
                      <a:fillRect/>
                    </a:stretch>
                  </pic:blipFill>
                  <pic:spPr>
                    <a:xfrm>
                      <a:off x="0" y="0"/>
                      <a:ext cx="5288915" cy="3456940"/>
                    </a:xfrm>
                    <a:prstGeom prst="rect">
                      <a:avLst/>
                    </a:prstGeom>
                    <a:noFill/>
                    <a:ln w="9525">
                      <a:noFill/>
                    </a:ln>
                  </pic:spPr>
                </pic:pic>
              </a:graphicData>
            </a:graphic>
          </wp:anchor>
        </w:drawing>
      </w:r>
      <w:r>
        <w:rPr>
          <w:rFonts w:hint="eastAsia" w:ascii="仿宋" w:hAnsi="仿宋" w:eastAsia="仿宋" w:cs="仿宋"/>
          <w:b w:val="0"/>
          <w:kern w:val="2"/>
          <w:sz w:val="32"/>
          <w:szCs w:val="32"/>
          <w:lang w:val="en-US" w:eastAsia="zh-CN" w:bidi="ar-SA"/>
        </w:rPr>
        <w:t>陈立东介绍了读书班的课程设置和教学安排，带领读书班其他成员学习了习近平总书记 党纪教育的重要讲话。同时陈立东强调，为了确保学习效果，检验学员的学习成果，读书班还</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center"/>
        <w:textAlignment w:val="auto"/>
        <w:rPr>
          <w:rFonts w:hint="eastAsia" w:ascii="仿宋_GB2312" w:hAnsi="仿宋" w:eastAsia="仿宋_GB2312" w:cs="仿宋"/>
          <w:b w:val="0"/>
          <w:kern w:val="2"/>
          <w:sz w:val="32"/>
          <w:szCs w:val="32"/>
          <w:lang w:val="en-US" w:eastAsia="zh-CN" w:bidi="ar-SA"/>
        </w:rPr>
      </w:pPr>
      <w:r>
        <w:rPr>
          <w:rStyle w:val="28"/>
          <w:rFonts w:hint="eastAsia" w:ascii="Times New Roman" w:hAnsi="Times New Roman" w:eastAsia="宋体" w:cs="Times New Roman"/>
          <w:b/>
          <w:kern w:val="0"/>
          <w:sz w:val="24"/>
          <w:szCs w:val="22"/>
          <w:lang w:val="en-US" w:eastAsia="zh-CN" w:bidi="ar"/>
        </w:rPr>
        <w:t>图</w:t>
      </w:r>
      <w:r>
        <w:rPr>
          <w:rStyle w:val="28"/>
          <w:rFonts w:hint="default" w:ascii="Times New Roman" w:hAnsi="Times New Roman" w:eastAsia="宋体" w:cs="Times New Roman"/>
          <w:b/>
          <w:kern w:val="0"/>
          <w:sz w:val="24"/>
          <w:szCs w:val="22"/>
          <w:lang w:val="en-US" w:eastAsia="zh-CN" w:bidi="ar"/>
        </w:rPr>
        <w:t>3</w:t>
      </w:r>
      <w:r>
        <w:rPr>
          <w:rStyle w:val="28"/>
          <w:rFonts w:hint="default" w:ascii="Times New Roman" w:hAnsi="Times New Roman" w:cs="Times New Roman"/>
          <w:b/>
          <w:kern w:val="0"/>
          <w:sz w:val="24"/>
          <w:szCs w:val="22"/>
          <w:lang w:val="en-US" w:eastAsia="zh-CN" w:bidi="ar"/>
        </w:rPr>
        <w:t>7</w:t>
      </w:r>
      <w:r>
        <w:rPr>
          <w:rStyle w:val="28"/>
          <w:rFonts w:hint="eastAsia" w:ascii="Times New Roman" w:hAnsi="Times New Roman" w:eastAsia="宋体" w:cs="Times New Roman"/>
          <w:b/>
          <w:kern w:val="0"/>
          <w:sz w:val="24"/>
          <w:szCs w:val="22"/>
          <w:lang w:val="en-US" w:eastAsia="zh-CN" w:bidi="ar"/>
        </w:rPr>
        <w:t>党纪学习教育读书班开班仪式</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textAlignment w:val="auto"/>
        <w:rPr>
          <w:rFonts w:hint="eastAsia" w:ascii="仿宋" w:hAnsi="仿宋" w:eastAsia="仿宋" w:cs="仿宋"/>
        </w:rPr>
      </w:pPr>
      <w:r>
        <w:rPr>
          <w:rFonts w:hint="eastAsia" w:ascii="仿宋" w:hAnsi="仿宋" w:eastAsia="仿宋" w:cs="仿宋"/>
          <w:b w:val="0"/>
          <w:kern w:val="2"/>
          <w:sz w:val="32"/>
          <w:szCs w:val="32"/>
          <w:lang w:val="en-US" w:eastAsia="zh-CN" w:bidi="ar-SA"/>
        </w:rPr>
        <w:t>将定期组织测试和讨论会，促进学员之间的交流与互动。</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640" w:firstLineChars="200"/>
        <w:textAlignment w:val="auto"/>
        <w:rPr>
          <w:rFonts w:hint="eastAsia" w:ascii="仿宋" w:hAnsi="仿宋" w:eastAsia="仿宋" w:cs="仿宋"/>
          <w:lang w:val="en-US" w:eastAsia="zh-CN"/>
        </w:rPr>
      </w:pPr>
      <w:r>
        <w:rPr>
          <w:rFonts w:hint="eastAsia" w:ascii="仿宋" w:hAnsi="仿宋" w:eastAsia="仿宋" w:cs="仿宋"/>
          <w:color w:val="000000"/>
          <w:kern w:val="2"/>
          <w:sz w:val="32"/>
          <w:szCs w:val="32"/>
          <w:lang w:val="en-US" w:eastAsia="zh-CN" w:bidi="ar-SA"/>
        </w:rPr>
        <w:t>此次党纪教育读书班的开班标志着涿鹿职教中心2024年党风廉政建设工作即将踏上新的旅程。全校党员干部将在读书班各位领导的正确带领下，进一步增强党纪意识，提高政治站位，为推动学校健康运行和高质量发展提供有力保障。</w:t>
      </w:r>
    </w:p>
    <w:p>
      <w:pPr>
        <w:pStyle w:val="6"/>
        <w:keepNext/>
        <w:keepLines/>
        <w:pageBreakBefore w:val="0"/>
        <w:widowControl w:val="0"/>
        <w:kinsoku/>
        <w:wordWrap/>
        <w:overflowPunct/>
        <w:topLinePunct w:val="0"/>
        <w:autoSpaceDE/>
        <w:autoSpaceDN/>
        <w:bidi w:val="0"/>
        <w:adjustRightInd/>
        <w:snapToGrid/>
        <w:spacing w:before="0" w:after="0" w:line="560" w:lineRule="exact"/>
        <w:ind w:firstLine="320" w:firstLineChars="100"/>
        <w:jc w:val="left"/>
        <w:textAlignment w:val="auto"/>
        <w:outlineLvl w:val="1"/>
        <w:rPr>
          <w:rFonts w:hint="eastAsia" w:ascii="楷体" w:hAnsi="楷体" w:eastAsia="楷体" w:cs="楷体"/>
          <w:b w:val="0"/>
          <w:bCs/>
          <w:lang w:val="en-US" w:eastAsia="zh-CN"/>
        </w:rPr>
      </w:pPr>
      <w:bookmarkStart w:id="146" w:name="_Toc19927"/>
      <w:bookmarkStart w:id="147" w:name="_Toc22162"/>
      <w:bookmarkStart w:id="148" w:name="_Toc5271"/>
      <w:r>
        <w:rPr>
          <w:rFonts w:hint="eastAsia" w:ascii="楷体" w:hAnsi="楷体" w:eastAsia="楷体" w:cs="楷体"/>
          <w:b w:val="0"/>
          <w:bCs/>
          <w:lang w:val="en-US" w:eastAsia="zh-CN"/>
        </w:rPr>
        <w:t>（五）质量保证体系建设</w:t>
      </w:r>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涿鹿县人民政府在2023年政府工作报告中着重指出职业教育产教融合发展的远景，希望政府有关部门积极支持，企业方努力参与涿鹿县职业教育的发展。涿鹿县县委在2023年全县教育工作大会上，着重指出职业教育是县域经济发展不可或缺部分，县委县政府一定大力支持职业教育发展。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在县委县政府的大力扶持下，</w:t>
      </w:r>
      <w:r>
        <w:rPr>
          <w:rFonts w:hint="eastAsia" w:ascii="仿宋" w:hAnsi="仿宋" w:eastAsia="仿宋" w:cs="仿宋"/>
          <w:color w:val="000000"/>
          <w:sz w:val="32"/>
          <w:szCs w:val="32"/>
          <w:lang w:val="en-US" w:eastAsia="zh-CN"/>
        </w:rPr>
        <w:t>该</w:t>
      </w:r>
      <w:r>
        <w:rPr>
          <w:rFonts w:hint="eastAsia" w:ascii="仿宋" w:hAnsi="仿宋" w:eastAsia="仿宋" w:cs="仿宋"/>
          <w:color w:val="000000"/>
          <w:sz w:val="32"/>
          <w:szCs w:val="32"/>
        </w:rPr>
        <w:t>校校企协同育人水平显著提高。签定合作协议企业提升至21家</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建成 3 个职业教育实训基地。</w:t>
      </w:r>
    </w:p>
    <w:p>
      <w:pPr>
        <w:pStyle w:val="2"/>
        <w:ind w:left="0" w:leftChars="0" w:firstLine="640" w:firstLineChars="200"/>
        <w:rPr>
          <w:rFonts w:hint="default" w:eastAsia="仿宋"/>
          <w:lang w:val="en-US" w:eastAsia="zh-CN"/>
        </w:rPr>
      </w:pPr>
      <w:r>
        <w:rPr>
          <w:rFonts w:hint="eastAsia" w:hAnsi="仿宋" w:cs="仿宋"/>
          <w:color w:val="000000"/>
          <w:sz w:val="32"/>
          <w:szCs w:val="32"/>
          <w:lang w:val="en-US" w:eastAsia="zh-CN"/>
        </w:rPr>
        <w:t>该校各职能部门各司其责，互相协作，为学校发展做出了巨大成绩。</w:t>
      </w:r>
    </w:p>
    <w:p>
      <w:pPr>
        <w:spacing w:line="560" w:lineRule="exact"/>
        <w:ind w:firstLine="640" w:firstLineChars="200"/>
        <w:rPr>
          <w:rFonts w:hint="eastAsia" w:ascii="仿宋" w:hAnsi="仿宋" w:eastAsia="仿宋" w:cs="仿宋"/>
          <w:sz w:val="32"/>
          <w:szCs w:val="32"/>
          <w:lang w:val="en-US" w:eastAsia="zh-CN"/>
        </w:rPr>
      </w:pPr>
      <w:bookmarkStart w:id="149" w:name="_Toc5236"/>
      <w:r>
        <w:rPr>
          <w:rFonts w:hint="eastAsia" w:ascii="仿宋" w:hAnsi="仿宋" w:eastAsia="仿宋" w:cs="仿宋"/>
          <w:sz w:val="32"/>
          <w:szCs w:val="32"/>
          <w:lang w:val="en-US" w:eastAsia="zh-CN"/>
        </w:rPr>
        <w:t>首先是该</w:t>
      </w:r>
      <w:r>
        <w:rPr>
          <w:rFonts w:hint="eastAsia" w:ascii="仿宋" w:hAnsi="仿宋" w:eastAsia="仿宋" w:cs="仿宋"/>
          <w:sz w:val="32"/>
          <w:szCs w:val="32"/>
        </w:rPr>
        <w:t>校专业建设委员</w:t>
      </w:r>
      <w:r>
        <w:rPr>
          <w:rFonts w:hint="eastAsia" w:ascii="仿宋" w:hAnsi="仿宋" w:eastAsia="仿宋" w:cs="仿宋"/>
          <w:sz w:val="32"/>
          <w:szCs w:val="32"/>
          <w:lang w:val="en-US" w:eastAsia="zh-CN"/>
        </w:rPr>
        <w:t>积极发挥作用，</w:t>
      </w:r>
      <w:r>
        <w:rPr>
          <w:rFonts w:hint="eastAsia" w:ascii="仿宋" w:hAnsi="仿宋" w:eastAsia="仿宋" w:cs="仿宋"/>
          <w:sz w:val="32"/>
          <w:szCs w:val="32"/>
        </w:rPr>
        <w:t>定期进行市场调研，并结合县域经济发展需求，动态调整各专业实施性人才培养方案。专业结构日趋合理，特色专业建设效果更加明显。</w:t>
      </w:r>
      <w:r>
        <w:rPr>
          <w:rFonts w:hint="eastAsia" w:ascii="仿宋" w:hAnsi="仿宋" w:eastAsia="仿宋" w:cs="仿宋"/>
          <w:sz w:val="32"/>
          <w:szCs w:val="32"/>
          <w:lang w:val="en-US" w:eastAsia="zh-CN"/>
        </w:rPr>
        <w:t>为学校发展起着牵引作用。</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社会文化艺术专业、汽车运用与维修专业、计算机应用专业三大专业获评省级骨干专业。专业建设委员会根据市场调研，形成《2023年新设电子应用技术专业人才培养方案》、《2023年社会文化艺术专业人才培养方案》、《2023护理专业专业人才培养方案》、《2023年“3+2”计算机应用专业中高衔接班培养方案》和《“2+2+2”汽车运用与维修专业衔接班培养方案》。2023年新增设《电子技术应用专业人才培养方案》，并开设专业招生，在校生33人。其他各专业人才培养方案均进行相应的微调。三个骨干专业初步形成《电商美工设计》、《汽车电器工学一体化课程》《力量训练》、《涿鹿IP切片培训》线上精品课，在全校相关课程试运行。</w:t>
      </w:r>
    </w:p>
    <w:p>
      <w:pPr>
        <w:pStyle w:val="2"/>
        <w:ind w:left="0" w:leftChars="0" w:firstLine="640" w:firstLineChars="200"/>
        <w:rPr>
          <w:rFonts w:hint="eastAsia" w:ascii="仿宋" w:hAnsi="仿宋" w:eastAsia="仿宋" w:cs="仿宋"/>
          <w:sz w:val="32"/>
          <w:szCs w:val="32"/>
          <w:lang w:eastAsia="zh-CN"/>
        </w:rPr>
      </w:pPr>
      <w:r>
        <w:rPr>
          <w:rFonts w:hint="eastAsia" w:ascii="仿宋" w:hAnsi="仿宋" w:eastAsia="仿宋" w:cs="仿宋"/>
          <w:kern w:val="2"/>
          <w:sz w:val="32"/>
          <w:szCs w:val="32"/>
          <w:lang w:val="en-US" w:eastAsia="zh-CN" w:bidi="ar-SA"/>
        </w:rPr>
        <w:t>该校教务处本着逐步提升教师队伍专业素养地职责，科学有效地进行教研组组长业务培训，全员教师校本培训，一线教师各种教学赛事，</w:t>
      </w:r>
      <w:r>
        <w:rPr>
          <w:rFonts w:hint="eastAsia" w:ascii="仿宋" w:hAnsi="仿宋" w:eastAsia="仿宋" w:cs="仿宋"/>
          <w:sz w:val="32"/>
          <w:szCs w:val="32"/>
        </w:rPr>
        <w:t>积极</w:t>
      </w:r>
      <w:r>
        <w:rPr>
          <w:rFonts w:hint="eastAsia" w:ascii="仿宋" w:hAnsi="仿宋" w:eastAsia="仿宋" w:cs="仿宋"/>
          <w:sz w:val="32"/>
          <w:szCs w:val="32"/>
          <w:lang w:val="en-US" w:eastAsia="zh-CN"/>
        </w:rPr>
        <w:t>组织</w:t>
      </w:r>
      <w:r>
        <w:rPr>
          <w:rFonts w:hint="eastAsia" w:ascii="仿宋" w:hAnsi="仿宋" w:eastAsia="仿宋" w:cs="仿宋"/>
          <w:sz w:val="32"/>
          <w:szCs w:val="32"/>
        </w:rPr>
        <w:t>鼓励教师开展科研活动，组织教师申报科研项目、撰写科研论文、参与学术交流</w:t>
      </w:r>
      <w:r>
        <w:rPr>
          <w:rFonts w:hint="eastAsia" w:ascii="仿宋" w:hAnsi="仿宋" w:eastAsia="仿宋" w:cs="仿宋"/>
          <w:sz w:val="32"/>
          <w:szCs w:val="32"/>
          <w:lang w:eastAsia="zh-CN"/>
        </w:rPr>
        <w:t>。</w:t>
      </w:r>
    </w:p>
    <w:p>
      <w:pPr>
        <w:pStyle w:val="3"/>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该校教育处在德育入心，安全为主的原则下，先后组织多次传统节日活动，公益活动，竞技赛事，对在校生进行潜移默化的德育教育，并根据学校发展实际情况，制定完善一系列安全制度，尤其是校园门口安全设施，人车分流安排。</w:t>
      </w:r>
    </w:p>
    <w:p>
      <w:pPr>
        <w:ind w:firstLine="640" w:firstLineChars="200"/>
        <w:rPr>
          <w:rFonts w:hint="eastAsia" w:ascii="仿宋" w:hAnsi="仿宋" w:eastAsia="仿宋" w:cs="仿宋"/>
          <w:lang w:val="en-US" w:eastAsia="zh-CN"/>
        </w:rPr>
      </w:pPr>
      <w:r>
        <w:rPr>
          <w:rFonts w:hint="eastAsia" w:ascii="仿宋" w:hAnsi="仿宋" w:eastAsia="仿宋" w:cs="仿宋"/>
          <w:sz w:val="32"/>
          <w:szCs w:val="32"/>
          <w:lang w:val="en-US" w:eastAsia="zh-CN"/>
        </w:rPr>
        <w:t>总务处积极学习兄弟学习先进经验，用于探索本校后勤管理方法，制定水电食安全检查制度并付诸执行。</w:t>
      </w:r>
    </w:p>
    <w:p>
      <w:pPr>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实训处向国省竞赛标准看齐，科学安排适合本校学生的十余次技能赛事，推动学生专业学习热情，并选拔出校队，省市赛事，取得可喜成绩。</w:t>
      </w:r>
    </w:p>
    <w:p>
      <w:pPr>
        <w:pStyle w:val="6"/>
        <w:keepNext/>
        <w:keepLines/>
        <w:pageBreakBefore w:val="0"/>
        <w:widowControl w:val="0"/>
        <w:kinsoku/>
        <w:wordWrap/>
        <w:overflowPunct/>
        <w:topLinePunct w:val="0"/>
        <w:autoSpaceDE/>
        <w:autoSpaceDN/>
        <w:bidi w:val="0"/>
        <w:adjustRightInd/>
        <w:snapToGrid/>
        <w:spacing w:before="0" w:after="0" w:line="560" w:lineRule="exact"/>
        <w:ind w:firstLine="320" w:firstLineChars="100"/>
        <w:jc w:val="left"/>
        <w:textAlignment w:val="auto"/>
        <w:outlineLvl w:val="1"/>
        <w:rPr>
          <w:rFonts w:hint="eastAsia" w:ascii="楷体" w:hAnsi="楷体" w:eastAsia="楷体" w:cs="楷体"/>
          <w:b w:val="0"/>
          <w:bCs/>
          <w:lang w:val="en-US" w:eastAsia="zh-CN"/>
        </w:rPr>
      </w:pPr>
      <w:bookmarkStart w:id="162" w:name="_GoBack"/>
      <w:bookmarkEnd w:id="162"/>
      <w:bookmarkStart w:id="150" w:name="_Toc4489"/>
      <w:r>
        <w:rPr>
          <w:rFonts w:hint="eastAsia" w:ascii="楷体" w:hAnsi="楷体" w:eastAsia="楷体" w:cs="楷体"/>
          <w:b w:val="0"/>
          <w:bCs/>
          <w:lang w:val="en-US" w:eastAsia="zh-CN"/>
        </w:rPr>
        <w:t>（六）经费投入</w:t>
      </w:r>
      <w:bookmarkEnd w:id="149"/>
      <w:bookmarkEnd w:id="150"/>
    </w:p>
    <w:p>
      <w:pPr>
        <w:rPr>
          <w:rFonts w:hint="default" w:ascii="楷体" w:hAnsi="楷体" w:eastAsia="楷体" w:cs="楷体"/>
          <w:b w:val="0"/>
          <w:bCs/>
          <w:lang w:val="en-US" w:eastAsia="zh-CN"/>
        </w:rPr>
      </w:pPr>
      <w:r>
        <w:rPr>
          <w:rFonts w:hint="default" w:ascii="楷体" w:hAnsi="楷体" w:eastAsia="楷体" w:cs="楷体"/>
          <w:b w:val="0"/>
          <w:bCs/>
          <w:lang w:val="en-US" w:eastAsia="zh-CN"/>
        </w:rPr>
        <w:t xml:space="preserve">  </w:t>
      </w:r>
    </w:p>
    <w:p>
      <w:pPr>
        <w:pStyle w:val="2"/>
        <w:jc w:val="right"/>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单位：万元</w:t>
      </w:r>
    </w:p>
    <w:tbl>
      <w:tblPr>
        <w:tblStyle w:val="26"/>
        <w:tblW w:w="8700"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092"/>
        <w:gridCol w:w="1776"/>
        <w:gridCol w:w="1080"/>
        <w:gridCol w:w="1284"/>
        <w:gridCol w:w="1044"/>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
              <w:rPr>
                <w:rFonts w:hint="default"/>
                <w:sz w:val="24"/>
                <w:szCs w:val="24"/>
                <w:vertAlign w:val="baseline"/>
                <w:lang w:val="en-US" w:eastAsia="zh-CN"/>
              </w:rPr>
            </w:pPr>
            <w:r>
              <w:rPr>
                <w:rFonts w:hint="eastAsia"/>
                <w:sz w:val="24"/>
                <w:szCs w:val="24"/>
                <w:vertAlign w:val="baseline"/>
                <w:lang w:val="en-US" w:eastAsia="zh-CN"/>
              </w:rPr>
              <w:t>项目</w:t>
            </w:r>
          </w:p>
        </w:tc>
        <w:tc>
          <w:tcPr>
            <w:tcW w:w="1092" w:type="dxa"/>
          </w:tcPr>
          <w:p>
            <w:pPr>
              <w:pStyle w:val="2"/>
              <w:jc w:val="center"/>
              <w:rPr>
                <w:rFonts w:hint="default"/>
                <w:sz w:val="24"/>
                <w:szCs w:val="24"/>
                <w:vertAlign w:val="baseline"/>
                <w:lang w:val="en-US" w:eastAsia="zh-CN"/>
              </w:rPr>
            </w:pPr>
            <w:r>
              <w:rPr>
                <w:rFonts w:hint="eastAsia"/>
                <w:sz w:val="24"/>
                <w:szCs w:val="24"/>
                <w:vertAlign w:val="baseline"/>
                <w:lang w:val="en-US" w:eastAsia="zh-CN"/>
              </w:rPr>
              <w:t>安全设施</w:t>
            </w:r>
          </w:p>
        </w:tc>
        <w:tc>
          <w:tcPr>
            <w:tcW w:w="1776" w:type="dxa"/>
          </w:tcPr>
          <w:p>
            <w:pPr>
              <w:pStyle w:val="2"/>
              <w:jc w:val="center"/>
              <w:rPr>
                <w:rFonts w:hint="default"/>
                <w:sz w:val="24"/>
                <w:szCs w:val="24"/>
                <w:vertAlign w:val="baseline"/>
                <w:lang w:val="en-US" w:eastAsia="zh-CN"/>
              </w:rPr>
            </w:pPr>
            <w:r>
              <w:rPr>
                <w:rFonts w:hint="eastAsia"/>
                <w:sz w:val="24"/>
                <w:szCs w:val="24"/>
                <w:vertAlign w:val="baseline"/>
                <w:lang w:val="en-US" w:eastAsia="zh-CN"/>
              </w:rPr>
              <w:t>虚拟仿真模拟实训室</w:t>
            </w:r>
          </w:p>
        </w:tc>
        <w:tc>
          <w:tcPr>
            <w:tcW w:w="1080" w:type="dxa"/>
          </w:tcPr>
          <w:p>
            <w:pPr>
              <w:pStyle w:val="2"/>
              <w:jc w:val="center"/>
              <w:rPr>
                <w:rFonts w:hint="default"/>
                <w:sz w:val="24"/>
                <w:szCs w:val="24"/>
                <w:vertAlign w:val="baseline"/>
                <w:lang w:val="en-US" w:eastAsia="zh-CN"/>
              </w:rPr>
            </w:pPr>
            <w:r>
              <w:rPr>
                <w:rFonts w:hint="eastAsia"/>
                <w:sz w:val="24"/>
                <w:szCs w:val="24"/>
                <w:vertAlign w:val="baseline"/>
                <w:lang w:val="en-US" w:eastAsia="zh-CN"/>
              </w:rPr>
              <w:t>图书</w:t>
            </w:r>
          </w:p>
        </w:tc>
        <w:tc>
          <w:tcPr>
            <w:tcW w:w="1284" w:type="dxa"/>
          </w:tcPr>
          <w:p>
            <w:pPr>
              <w:pStyle w:val="2"/>
              <w:jc w:val="center"/>
              <w:rPr>
                <w:rFonts w:hint="default"/>
                <w:sz w:val="24"/>
                <w:szCs w:val="24"/>
                <w:vertAlign w:val="baseline"/>
                <w:lang w:val="en-US" w:eastAsia="zh-CN"/>
              </w:rPr>
            </w:pPr>
            <w:r>
              <w:rPr>
                <w:rFonts w:hint="eastAsia"/>
                <w:sz w:val="24"/>
                <w:szCs w:val="24"/>
                <w:vertAlign w:val="baseline"/>
                <w:lang w:val="en-US" w:eastAsia="zh-CN"/>
              </w:rPr>
              <w:t>计算机实训室</w:t>
            </w:r>
          </w:p>
        </w:tc>
        <w:tc>
          <w:tcPr>
            <w:tcW w:w="1044" w:type="dxa"/>
          </w:tcPr>
          <w:p>
            <w:pPr>
              <w:pStyle w:val="2"/>
              <w:jc w:val="center"/>
              <w:rPr>
                <w:rFonts w:hint="default"/>
                <w:sz w:val="24"/>
                <w:szCs w:val="24"/>
                <w:vertAlign w:val="baseline"/>
                <w:lang w:val="en-US" w:eastAsia="zh-CN"/>
              </w:rPr>
            </w:pPr>
            <w:r>
              <w:rPr>
                <w:rFonts w:hint="eastAsia"/>
                <w:sz w:val="24"/>
                <w:szCs w:val="24"/>
                <w:vertAlign w:val="baseline"/>
                <w:lang w:val="en-US" w:eastAsia="zh-CN"/>
              </w:rPr>
              <w:t>运动设施</w:t>
            </w:r>
          </w:p>
        </w:tc>
        <w:tc>
          <w:tcPr>
            <w:tcW w:w="1536" w:type="dxa"/>
          </w:tcPr>
          <w:p>
            <w:pPr>
              <w:pStyle w:val="2"/>
              <w:jc w:val="center"/>
              <w:rPr>
                <w:rFonts w:hint="default"/>
                <w:sz w:val="24"/>
                <w:szCs w:val="24"/>
                <w:vertAlign w:val="baseline"/>
                <w:lang w:val="en-US" w:eastAsia="zh-CN"/>
              </w:rPr>
            </w:pPr>
            <w:r>
              <w:rPr>
                <w:rFonts w:hint="eastAsia"/>
                <w:sz w:val="24"/>
                <w:szCs w:val="24"/>
                <w:vertAlign w:val="baseline"/>
                <w:lang w:val="en-US"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
              <w:jc w:val="center"/>
              <w:rPr>
                <w:rFonts w:hint="eastAsia"/>
                <w:vertAlign w:val="baseline"/>
                <w:lang w:val="en-US" w:eastAsia="zh-CN"/>
              </w:rPr>
            </w:pPr>
          </w:p>
        </w:tc>
        <w:tc>
          <w:tcPr>
            <w:tcW w:w="1092" w:type="dxa"/>
          </w:tcPr>
          <w:p>
            <w:pPr>
              <w:pStyle w:val="2"/>
              <w:jc w:val="center"/>
              <w:rPr>
                <w:rFonts w:hint="default"/>
                <w:sz w:val="24"/>
                <w:szCs w:val="24"/>
                <w:vertAlign w:val="baseline"/>
                <w:lang w:val="en-US" w:eastAsia="zh-CN"/>
              </w:rPr>
            </w:pPr>
            <w:r>
              <w:rPr>
                <w:rFonts w:hint="default"/>
                <w:sz w:val="24"/>
                <w:szCs w:val="24"/>
                <w:vertAlign w:val="baseline"/>
                <w:lang w:val="en-US" w:eastAsia="zh-CN"/>
              </w:rPr>
              <w:t>70.25</w:t>
            </w:r>
          </w:p>
        </w:tc>
        <w:tc>
          <w:tcPr>
            <w:tcW w:w="1776" w:type="dxa"/>
          </w:tcPr>
          <w:p>
            <w:pPr>
              <w:pStyle w:val="2"/>
              <w:jc w:val="center"/>
              <w:rPr>
                <w:rFonts w:hint="default"/>
                <w:sz w:val="24"/>
                <w:szCs w:val="24"/>
                <w:vertAlign w:val="baseline"/>
                <w:lang w:val="en-US" w:eastAsia="zh-CN"/>
              </w:rPr>
            </w:pPr>
            <w:r>
              <w:rPr>
                <w:rFonts w:hint="default"/>
                <w:sz w:val="24"/>
                <w:szCs w:val="24"/>
                <w:vertAlign w:val="baseline"/>
                <w:lang w:val="en-US" w:eastAsia="zh-CN"/>
              </w:rPr>
              <w:t>156.86</w:t>
            </w:r>
          </w:p>
        </w:tc>
        <w:tc>
          <w:tcPr>
            <w:tcW w:w="1080" w:type="dxa"/>
          </w:tcPr>
          <w:p>
            <w:pPr>
              <w:pStyle w:val="2"/>
              <w:jc w:val="center"/>
              <w:rPr>
                <w:rFonts w:hint="default"/>
                <w:sz w:val="24"/>
                <w:szCs w:val="24"/>
                <w:vertAlign w:val="baseline"/>
                <w:lang w:val="en-US" w:eastAsia="zh-CN"/>
              </w:rPr>
            </w:pPr>
            <w:r>
              <w:rPr>
                <w:rFonts w:hint="default"/>
                <w:sz w:val="24"/>
                <w:szCs w:val="24"/>
                <w:vertAlign w:val="baseline"/>
                <w:lang w:val="en-US" w:eastAsia="zh-CN"/>
              </w:rPr>
              <w:t>20</w:t>
            </w:r>
          </w:p>
        </w:tc>
        <w:tc>
          <w:tcPr>
            <w:tcW w:w="1284" w:type="dxa"/>
          </w:tcPr>
          <w:p>
            <w:pPr>
              <w:pStyle w:val="2"/>
              <w:jc w:val="center"/>
              <w:rPr>
                <w:rFonts w:hint="default"/>
                <w:sz w:val="24"/>
                <w:szCs w:val="24"/>
                <w:vertAlign w:val="baseline"/>
                <w:lang w:val="en-US" w:eastAsia="zh-CN"/>
              </w:rPr>
            </w:pPr>
            <w:r>
              <w:rPr>
                <w:rFonts w:hint="default"/>
                <w:sz w:val="24"/>
                <w:szCs w:val="24"/>
                <w:vertAlign w:val="baseline"/>
                <w:lang w:val="en-US" w:eastAsia="zh-CN"/>
              </w:rPr>
              <w:t>76</w:t>
            </w:r>
          </w:p>
        </w:tc>
        <w:tc>
          <w:tcPr>
            <w:tcW w:w="1044" w:type="dxa"/>
          </w:tcPr>
          <w:p>
            <w:pPr>
              <w:pStyle w:val="2"/>
              <w:jc w:val="center"/>
              <w:rPr>
                <w:rFonts w:hint="default"/>
                <w:sz w:val="24"/>
                <w:szCs w:val="24"/>
                <w:vertAlign w:val="baseline"/>
                <w:lang w:val="en-US" w:eastAsia="zh-CN"/>
              </w:rPr>
            </w:pPr>
            <w:r>
              <w:rPr>
                <w:rFonts w:hint="default"/>
                <w:sz w:val="24"/>
                <w:szCs w:val="24"/>
                <w:vertAlign w:val="baseline"/>
                <w:lang w:val="en-US" w:eastAsia="zh-CN"/>
              </w:rPr>
              <w:t>83.89</w:t>
            </w:r>
          </w:p>
        </w:tc>
        <w:tc>
          <w:tcPr>
            <w:tcW w:w="1536" w:type="dxa"/>
          </w:tcPr>
          <w:p>
            <w:pPr>
              <w:pStyle w:val="2"/>
              <w:jc w:val="center"/>
              <w:rPr>
                <w:rFonts w:hint="default"/>
                <w:sz w:val="24"/>
                <w:szCs w:val="24"/>
                <w:vertAlign w:val="baseline"/>
                <w:lang w:val="en-US" w:eastAsia="zh-CN"/>
              </w:rPr>
            </w:pPr>
            <w:r>
              <w:rPr>
                <w:rFonts w:hint="default"/>
                <w:sz w:val="24"/>
                <w:szCs w:val="24"/>
                <w:vertAlign w:val="baseline"/>
                <w:lang w:val="en-US" w:eastAsia="zh-CN"/>
              </w:rPr>
              <w:t>407</w:t>
            </w:r>
          </w:p>
        </w:tc>
      </w:tr>
    </w:tbl>
    <w:p>
      <w:pPr>
        <w:keepNext w:val="0"/>
        <w:keepLines w:val="0"/>
        <w:pageBreakBefore w:val="0"/>
        <w:widowControl w:val="0"/>
        <w:numPr>
          <w:ilvl w:val="0"/>
          <w:numId w:val="0"/>
        </w:numPr>
        <w:shd w:val="clear" w:fill="FFFFFF" w:themeFill="background1"/>
        <w:kinsoku/>
        <w:wordWrap/>
        <w:overflowPunct w:val="0"/>
        <w:topLinePunct w:val="0"/>
        <w:autoSpaceDE/>
        <w:autoSpaceDN/>
        <w:bidi w:val="0"/>
        <w:adjustRightInd/>
        <w:snapToGrid/>
        <w:spacing w:line="560" w:lineRule="exact"/>
        <w:ind w:left="0" w:leftChars="0" w:right="0" w:rightChars="0" w:firstLine="420" w:firstLineChars="200"/>
        <w:jc w:val="center"/>
        <w:textAlignment w:val="auto"/>
        <w:outlineLvl w:val="9"/>
        <w:rPr>
          <w:rFonts w:hint="default" w:ascii="仿宋" w:hAnsi="仿宋" w:eastAsia="仿宋" w:cs="Times New Roman"/>
          <w:kern w:val="2"/>
          <w:sz w:val="32"/>
          <w:szCs w:val="32"/>
          <w:lang w:val="en-US" w:eastAsia="zh-CN" w:bidi="ar-SA"/>
        </w:rPr>
      </w:pPr>
      <w:r>
        <w:t xml:space="preserve">表 </w:t>
      </w:r>
      <w:r>
        <w:fldChar w:fldCharType="begin"/>
      </w:r>
      <w:r>
        <w:instrText xml:space="preserve"> SEQ 表 \* ARABIC </w:instrText>
      </w:r>
      <w:r>
        <w:fldChar w:fldCharType="separate"/>
      </w:r>
      <w:r>
        <w:t>6</w:t>
      </w:r>
      <w:r>
        <w:fldChar w:fldCharType="end"/>
      </w:r>
      <w:bookmarkStart w:id="151" w:name="_Toc22531"/>
      <w:bookmarkStart w:id="152" w:name="_Toc16889"/>
      <w:bookmarkStart w:id="153" w:name="_Toc1949"/>
      <w:bookmarkStart w:id="154" w:name="_Toc15874"/>
      <w:r>
        <w:rPr>
          <w:rFonts w:hint="eastAsia"/>
          <w:lang w:eastAsia="zh-CN"/>
        </w:rPr>
        <w:t>经费投入</w:t>
      </w:r>
      <w:bookmarkEnd w:id="151"/>
      <w:bookmarkEnd w:id="152"/>
      <w:bookmarkEnd w:id="153"/>
      <w:bookmarkEnd w:id="154"/>
    </w:p>
    <w:p>
      <w:pPr>
        <w:pStyle w:val="5"/>
        <w:keepNext/>
        <w:keepLines/>
        <w:pageBreakBefore w:val="0"/>
        <w:widowControl w:val="0"/>
        <w:kinsoku/>
        <w:wordWrap/>
        <w:overflowPunct/>
        <w:topLinePunct w:val="0"/>
        <w:autoSpaceDE/>
        <w:autoSpaceDN/>
        <w:bidi w:val="0"/>
        <w:adjustRightInd/>
        <w:snapToGrid/>
        <w:spacing w:before="0" w:beforeLines="0" w:after="0" w:afterLines="0" w:line="560" w:lineRule="exact"/>
        <w:ind w:right="0" w:rightChars="0" w:firstLine="640" w:firstLineChars="200"/>
        <w:jc w:val="left"/>
        <w:textAlignment w:val="auto"/>
        <w:outlineLvl w:val="0"/>
        <w:rPr>
          <w:rFonts w:hint="default"/>
          <w:b w:val="0"/>
          <w:bCs/>
          <w:lang w:val="en-US" w:eastAsia="zh-CN"/>
        </w:rPr>
      </w:pPr>
      <w:bookmarkStart w:id="155" w:name="_Toc30336"/>
      <w:bookmarkStart w:id="156" w:name="_Toc29280"/>
      <w:bookmarkStart w:id="157" w:name="_Toc21363"/>
      <w:r>
        <w:rPr>
          <w:rFonts w:hint="eastAsia"/>
          <w:b w:val="0"/>
          <w:bCs/>
          <w:lang w:val="en-US" w:eastAsia="zh-CN"/>
        </w:rPr>
        <w:t>七、挑战</w:t>
      </w:r>
      <w:bookmarkEnd w:id="155"/>
      <w:r>
        <w:rPr>
          <w:rFonts w:hint="eastAsia"/>
          <w:b w:val="0"/>
          <w:bCs/>
          <w:lang w:val="en-US" w:eastAsia="zh-CN"/>
        </w:rPr>
        <w:t>与展望</w:t>
      </w:r>
      <w:bookmarkEnd w:id="156"/>
      <w:bookmarkEnd w:id="157"/>
    </w:p>
    <w:p>
      <w:pPr>
        <w:pStyle w:val="6"/>
        <w:keepNext/>
        <w:keepLines/>
        <w:pageBreakBefore w:val="0"/>
        <w:widowControl w:val="0"/>
        <w:kinsoku/>
        <w:wordWrap/>
        <w:overflowPunct/>
        <w:topLinePunct w:val="0"/>
        <w:autoSpaceDE/>
        <w:autoSpaceDN/>
        <w:bidi w:val="0"/>
        <w:adjustRightInd/>
        <w:snapToGrid/>
        <w:spacing w:before="0" w:after="0" w:line="560" w:lineRule="exact"/>
        <w:ind w:firstLine="320" w:firstLineChars="100"/>
        <w:jc w:val="left"/>
        <w:textAlignment w:val="auto"/>
        <w:outlineLvl w:val="1"/>
        <w:rPr>
          <w:rFonts w:hint="eastAsia" w:ascii="楷体" w:hAnsi="楷体" w:eastAsia="楷体" w:cs="楷体"/>
          <w:b w:val="0"/>
          <w:bCs/>
          <w:lang w:val="en-US" w:eastAsia="zh-CN"/>
        </w:rPr>
      </w:pPr>
      <w:bookmarkStart w:id="158" w:name="_Toc20382"/>
      <w:bookmarkStart w:id="159" w:name="_Toc12770"/>
      <w:r>
        <w:rPr>
          <w:rFonts w:hint="eastAsia" w:ascii="楷体" w:hAnsi="楷体" w:eastAsia="楷体" w:cs="楷体"/>
          <w:b w:val="0"/>
          <w:bCs/>
          <w:lang w:val="en-US" w:eastAsia="zh-CN"/>
        </w:rPr>
        <w:t>（一）面临挑战</w:t>
      </w:r>
      <w:bookmarkEnd w:id="158"/>
      <w:bookmarkEnd w:id="159"/>
    </w:p>
    <w:p>
      <w:pPr>
        <w:keepNext w:val="0"/>
        <w:keepLines w:val="0"/>
        <w:pageBreakBefore w:val="0"/>
        <w:widowControl w:val="0"/>
        <w:numPr>
          <w:ilvl w:val="0"/>
          <w:numId w:val="0"/>
        </w:numPr>
        <w:shd w:val="clear" w:fill="FFFFFF" w:themeFill="background1"/>
        <w:kinsoku/>
        <w:wordWrap/>
        <w:overflowPunct w:val="0"/>
        <w:topLinePunct w:val="0"/>
        <w:autoSpaceDE/>
        <w:autoSpaceDN/>
        <w:bidi w:val="0"/>
        <w:adjustRightInd/>
        <w:snapToGrid/>
        <w:spacing w:line="560" w:lineRule="exact"/>
        <w:ind w:left="0" w:leftChars="0" w:right="0" w:rightChars="0" w:firstLine="640" w:firstLineChars="200"/>
        <w:jc w:val="left"/>
        <w:textAlignment w:val="auto"/>
        <w:outlineLvl w:val="9"/>
        <w:rPr>
          <w:rFonts w:hint="default"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挑战1.招生压力增大。招生对象绝对人数锐减，新生总数逐年减少已成定局，该校招生吸引力远远不如外地学校。公立学校招生手段力度与私立学校相去甚远，县级职教不如省市职教社会环境更有吸引力，外来和尚会念经，造成本地生源外流严重。在这种情况下各校招生必须靠自身“真功夫”。教学质量能为学生升学就业起到切实提升的作用，能够吸引学生；学校人文能留住学生。因此提高学校软实力是解决招生的重要方法之一，是学校发展的当务之急。</w:t>
      </w:r>
    </w:p>
    <w:p>
      <w:pPr>
        <w:keepNext w:val="0"/>
        <w:keepLines w:val="0"/>
        <w:pageBreakBefore w:val="0"/>
        <w:widowControl w:val="0"/>
        <w:numPr>
          <w:ilvl w:val="0"/>
          <w:numId w:val="0"/>
        </w:numPr>
        <w:shd w:val="clear" w:fill="FFFFFF" w:themeFill="background1"/>
        <w:kinsoku/>
        <w:wordWrap/>
        <w:overflowPunct w:val="0"/>
        <w:topLinePunct w:val="0"/>
        <w:autoSpaceDE/>
        <w:autoSpaceDN/>
        <w:bidi w:val="0"/>
        <w:adjustRightInd/>
        <w:snapToGrid/>
        <w:spacing w:line="560" w:lineRule="exact"/>
        <w:ind w:left="0" w:leftChars="0" w:right="0" w:rightChars="0" w:firstLine="640" w:firstLineChars="200"/>
        <w:jc w:val="left"/>
        <w:textAlignment w:val="auto"/>
        <w:outlineLvl w:val="9"/>
        <w:rPr>
          <w:rFonts w:hint="default"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挑战2.实训条件不足。一是实习实训指导教师自身知识技能固化，与实际生产有一定差距，这不是几次企业实践就能解决的，也就出现课堂教学与企业需要脱钩，需要校企合作深度发展，编制企业版校本教材，基础课程在学校，专业技能实习实训在企业。这对学校对企业都是巨大的挑战。二是学校实习实训资金投入不足，实训室、实训设备种类不齐全，更新慢。呈现硬件基础不“硬”，专业实训设备欠缺、滞后。导致专业建设力度不够，品牌专业不强。三是闲置实训设备不能置换新设备。</w:t>
      </w:r>
    </w:p>
    <w:p>
      <w:pPr>
        <w:keepNext w:val="0"/>
        <w:keepLines w:val="0"/>
        <w:pageBreakBefore w:val="0"/>
        <w:widowControl w:val="0"/>
        <w:numPr>
          <w:ilvl w:val="0"/>
          <w:numId w:val="0"/>
        </w:numPr>
        <w:shd w:val="clear" w:fill="FFFFFF" w:themeFill="background1"/>
        <w:kinsoku/>
        <w:wordWrap/>
        <w:overflowPunct w:val="0"/>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挑战3.职教中心服务社会功能日益凸显，职业教育需要强化“六边形战士”的战斗力。随着社会进步，本地区社区需求层次提高，展现处对高技术含量的生产技能的渴望，对更高精神层次生活的追求。涿鹿县发展规划中提出六大产业：</w:t>
      </w:r>
    </w:p>
    <w:p>
      <w:pPr>
        <w:keepNext w:val="0"/>
        <w:keepLines w:val="0"/>
        <w:pageBreakBefore w:val="0"/>
        <w:kinsoku/>
        <w:wordWrap/>
        <w:overflowPunct/>
        <w:topLinePunct w:val="0"/>
        <w:autoSpaceDE/>
        <w:autoSpaceDN/>
        <w:bidi w:val="0"/>
        <w:adjustRightInd/>
        <w:snapToGrid/>
        <w:spacing w:line="578" w:lineRule="exact"/>
        <w:ind w:firstLine="640" w:firstLineChars="2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1.文旅康养产业。</w:t>
      </w:r>
      <w:r>
        <w:rPr>
          <w:rFonts w:hint="eastAsia" w:ascii="仿宋" w:hAnsi="仿宋" w:eastAsia="仿宋" w:cs="仿宋"/>
          <w:color w:val="auto"/>
          <w:kern w:val="0"/>
          <w:sz w:val="32"/>
          <w:szCs w:val="32"/>
          <w:lang w:val="en-US" w:eastAsia="zh-CN" w:bidi="ar"/>
        </w:rPr>
        <w:t>积极</w:t>
      </w:r>
      <w:r>
        <w:rPr>
          <w:rFonts w:hint="eastAsia" w:ascii="仿宋" w:hAnsi="仿宋" w:eastAsia="仿宋" w:cs="仿宋"/>
          <w:color w:val="auto"/>
          <w:kern w:val="2"/>
          <w:sz w:val="32"/>
          <w:szCs w:val="32"/>
          <w:highlight w:val="none"/>
          <w:lang w:val="en-US" w:eastAsia="zh-CN" w:bidi="ar-SA"/>
        </w:rPr>
        <w:t>谋划</w:t>
      </w:r>
      <w:r>
        <w:rPr>
          <w:rFonts w:hint="eastAsia" w:ascii="仿宋" w:hAnsi="仿宋" w:eastAsia="仿宋" w:cs="仿宋"/>
          <w:b w:val="0"/>
          <w:bCs w:val="0"/>
          <w:color w:val="auto"/>
          <w:kern w:val="0"/>
          <w:sz w:val="32"/>
          <w:szCs w:val="32"/>
          <w:highlight w:val="none"/>
          <w:lang w:val="en-US" w:eastAsia="zh-CN" w:bidi="ar"/>
        </w:rPr>
        <w:t>怡嘉泰医养中心等</w:t>
      </w:r>
      <w:r>
        <w:rPr>
          <w:rFonts w:hint="eastAsia" w:ascii="仿宋" w:hAnsi="仿宋" w:eastAsia="仿宋" w:cs="仿宋"/>
          <w:color w:val="auto"/>
          <w:kern w:val="2"/>
          <w:sz w:val="32"/>
          <w:szCs w:val="32"/>
          <w:highlight w:val="none"/>
          <w:lang w:val="en-US" w:eastAsia="zh-CN" w:bidi="ar-SA"/>
        </w:rPr>
        <w:t>环京养老项目</w:t>
      </w:r>
      <w:r>
        <w:rPr>
          <w:rFonts w:hint="eastAsia" w:ascii="仿宋" w:hAnsi="仿宋" w:eastAsia="仿宋" w:cs="仿宋"/>
          <w:color w:val="auto"/>
          <w:kern w:val="0"/>
          <w:sz w:val="32"/>
          <w:szCs w:val="32"/>
          <w:lang w:val="en-US" w:eastAsia="zh-CN" w:bidi="ar"/>
        </w:rPr>
        <w:t>，</w:t>
      </w:r>
      <w:r>
        <w:rPr>
          <w:rFonts w:hint="eastAsia" w:ascii="仿宋" w:hAnsi="仿宋" w:eastAsia="仿宋" w:cs="仿宋"/>
          <w:b w:val="0"/>
          <w:bCs w:val="0"/>
          <w:color w:val="auto"/>
          <w:sz w:val="32"/>
          <w:szCs w:val="32"/>
          <w:lang w:val="en-US" w:eastAsia="zh-CN"/>
        </w:rPr>
        <w:t>重点推进桑干河旅游产业带项目建设，加紧办理桑干河红色文化保护发展、</w:t>
      </w:r>
      <w:r>
        <w:rPr>
          <w:rFonts w:hint="eastAsia" w:ascii="仿宋" w:hAnsi="仿宋" w:eastAsia="仿宋" w:cs="仿宋"/>
          <w:color w:val="auto"/>
          <w:kern w:val="0"/>
          <w:sz w:val="32"/>
          <w:szCs w:val="32"/>
          <w:lang w:val="en-US" w:eastAsia="zh-CN" w:bidi="ar"/>
        </w:rPr>
        <w:t>老年养护中心建设</w:t>
      </w:r>
      <w:r>
        <w:rPr>
          <w:rFonts w:hint="eastAsia" w:ascii="仿宋" w:hAnsi="仿宋" w:eastAsia="仿宋" w:cs="仿宋"/>
          <w:b w:val="0"/>
          <w:bCs w:val="0"/>
          <w:color w:val="auto"/>
          <w:sz w:val="32"/>
          <w:szCs w:val="32"/>
          <w:lang w:val="en-US" w:eastAsia="zh-CN"/>
        </w:rPr>
        <w:t>等项目前期手续，加快武家沟文旅建设、</w:t>
      </w:r>
      <w:r>
        <w:rPr>
          <w:rFonts w:hint="eastAsia" w:ascii="仿宋" w:hAnsi="仿宋" w:eastAsia="仿宋" w:cs="仿宋"/>
          <w:color w:val="auto"/>
          <w:kern w:val="0"/>
          <w:sz w:val="32"/>
          <w:szCs w:val="32"/>
          <w:highlight w:val="none"/>
          <w:lang w:val="en-US" w:eastAsia="zh-CN" w:bidi="ar"/>
        </w:rPr>
        <w:t>黄帝泉国际养老中心施工进度</w:t>
      </w:r>
      <w:r>
        <w:rPr>
          <w:rFonts w:hint="eastAsia" w:ascii="仿宋" w:hAnsi="仿宋" w:eastAsia="仿宋" w:cs="仿宋"/>
          <w:b w:val="0"/>
          <w:bCs w:val="0"/>
          <w:color w:val="auto"/>
          <w:kern w:val="0"/>
          <w:sz w:val="32"/>
          <w:szCs w:val="32"/>
          <w:lang w:val="en-US" w:eastAsia="zh-CN" w:bidi="ar"/>
        </w:rPr>
        <w:t>，做好</w:t>
      </w:r>
      <w:r>
        <w:rPr>
          <w:rFonts w:hint="eastAsia" w:ascii="仿宋" w:hAnsi="仿宋" w:eastAsia="仿宋" w:cs="仿宋"/>
          <w:b w:val="0"/>
          <w:bCs w:val="0"/>
          <w:color w:val="auto"/>
          <w:sz w:val="32"/>
          <w:szCs w:val="32"/>
          <w:lang w:val="en-US" w:eastAsia="zh-CN"/>
        </w:rPr>
        <w:t>兑九沟明悦阑珊谷民宿竣工营业工作。</w:t>
      </w:r>
    </w:p>
    <w:p>
      <w:pPr>
        <w:pStyle w:val="23"/>
        <w:keepNext w:val="0"/>
        <w:keepLines w:val="0"/>
        <w:pageBreakBefore w:val="0"/>
        <w:widowControl/>
        <w:kinsoku/>
        <w:wordWrap/>
        <w:overflowPunct/>
        <w:topLinePunct w:val="0"/>
        <w:autoSpaceDE/>
        <w:autoSpaceDN/>
        <w:bidi w:val="0"/>
        <w:adjustRightInd/>
        <w:snapToGrid/>
        <w:spacing w:beforeAutospacing="0" w:afterAutospacing="0" w:line="578" w:lineRule="exact"/>
        <w:ind w:firstLine="640" w:firstLineChars="200"/>
        <w:jc w:val="both"/>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lang w:val="en-US" w:eastAsia="zh-CN"/>
        </w:rPr>
        <w:t>2.高端装备产业。高压容器生产线技改项目完工运行，天元特种玻璃研发生产加工、氢能装备研发制造等项目</w:t>
      </w:r>
      <w:r>
        <w:rPr>
          <w:rFonts w:hint="eastAsia" w:ascii="仿宋" w:hAnsi="仿宋" w:eastAsia="仿宋" w:cs="仿宋"/>
          <w:color w:val="auto"/>
          <w:spacing w:val="6"/>
          <w:sz w:val="32"/>
          <w:szCs w:val="32"/>
          <w:shd w:val="clear" w:color="auto" w:fill="FFFFFF"/>
          <w:lang w:val="en-US" w:eastAsia="zh-CN"/>
        </w:rPr>
        <w:t>开工建设</w:t>
      </w:r>
      <w:r>
        <w:rPr>
          <w:rFonts w:hint="eastAsia" w:ascii="仿宋" w:hAnsi="仿宋" w:eastAsia="仿宋" w:cs="仿宋"/>
          <w:b w:val="0"/>
          <w:bCs w:val="0"/>
          <w:color w:val="auto"/>
          <w:sz w:val="32"/>
          <w:szCs w:val="32"/>
          <w:lang w:val="en-US" w:eastAsia="zh-CN"/>
        </w:rPr>
        <w:t>，碲化镉太阳能薄膜电池生产、锂电池拆解梯次化利用等新型产业</w:t>
      </w:r>
      <w:r>
        <w:rPr>
          <w:rFonts w:hint="eastAsia" w:ascii="仿宋" w:hAnsi="仿宋" w:eastAsia="仿宋" w:cs="仿宋"/>
          <w:b w:val="0"/>
          <w:bCs w:val="0"/>
          <w:color w:val="auto"/>
          <w:sz w:val="32"/>
          <w:szCs w:val="32"/>
        </w:rPr>
        <w:t>项目。</w:t>
      </w:r>
    </w:p>
    <w:p>
      <w:pPr>
        <w:pStyle w:val="23"/>
        <w:keepNext w:val="0"/>
        <w:keepLines w:val="0"/>
        <w:pageBreakBefore w:val="0"/>
        <w:widowControl/>
        <w:kinsoku/>
        <w:wordWrap/>
        <w:overflowPunct/>
        <w:topLinePunct w:val="0"/>
        <w:autoSpaceDE/>
        <w:autoSpaceDN/>
        <w:bidi w:val="0"/>
        <w:adjustRightInd/>
        <w:snapToGrid/>
        <w:spacing w:beforeAutospacing="0" w:afterAutospacing="0" w:line="578" w:lineRule="exact"/>
        <w:ind w:firstLine="640" w:firstLineChars="200"/>
        <w:jc w:val="both"/>
        <w:textAlignment w:val="auto"/>
        <w:rPr>
          <w:rFonts w:hint="eastAsia" w:ascii="仿宋" w:hAnsi="仿宋" w:eastAsia="仿宋" w:cs="仿宋"/>
          <w:b w:val="0"/>
          <w:bCs w:val="0"/>
          <w:color w:val="auto"/>
          <w:sz w:val="32"/>
          <w:szCs w:val="32"/>
          <w:lang w:val="en-US"/>
        </w:rPr>
      </w:pPr>
      <w:r>
        <w:rPr>
          <w:rFonts w:hint="eastAsia" w:ascii="仿宋" w:hAnsi="仿宋" w:eastAsia="仿宋" w:cs="仿宋"/>
          <w:b w:val="0"/>
          <w:bCs w:val="0"/>
          <w:color w:val="auto"/>
          <w:kern w:val="2"/>
          <w:sz w:val="32"/>
          <w:szCs w:val="32"/>
          <w:lang w:val="en-US" w:eastAsia="zh-CN" w:bidi="ar-SA"/>
        </w:rPr>
        <w:t>3.新型能源产业。</w:t>
      </w:r>
      <w:r>
        <w:rPr>
          <w:rFonts w:hint="eastAsia" w:ascii="仿宋" w:hAnsi="仿宋" w:eastAsia="仿宋" w:cs="仿宋"/>
          <w:b w:val="0"/>
          <w:bCs w:val="0"/>
          <w:color w:val="auto"/>
          <w:sz w:val="32"/>
          <w:szCs w:val="32"/>
          <w:lang w:val="en-US" w:eastAsia="zh-CN"/>
        </w:rPr>
        <w:t>瑞能风电场项目开工建设，</w:t>
      </w:r>
      <w:r>
        <w:rPr>
          <w:rFonts w:hint="eastAsia" w:ascii="仿宋" w:hAnsi="仿宋" w:eastAsia="仿宋" w:cs="仿宋"/>
          <w:b w:val="0"/>
          <w:bCs w:val="0"/>
          <w:color w:val="auto"/>
          <w:sz w:val="32"/>
          <w:szCs w:val="32"/>
        </w:rPr>
        <w:t>跨季节储热</w:t>
      </w:r>
      <w:r>
        <w:rPr>
          <w:rFonts w:hint="eastAsia" w:ascii="仿宋" w:hAnsi="仿宋" w:eastAsia="仿宋" w:cs="仿宋"/>
          <w:b w:val="0"/>
          <w:bCs w:val="0"/>
          <w:color w:val="auto"/>
          <w:sz w:val="32"/>
          <w:szCs w:val="32"/>
          <w:lang w:val="en-US" w:eastAsia="zh-CN"/>
        </w:rPr>
        <w:t>试验</w:t>
      </w:r>
      <w:r>
        <w:rPr>
          <w:rFonts w:hint="eastAsia" w:ascii="仿宋" w:hAnsi="仿宋" w:eastAsia="仿宋" w:cs="仿宋"/>
          <w:b w:val="0"/>
          <w:bCs w:val="0"/>
          <w:color w:val="auto"/>
          <w:sz w:val="32"/>
          <w:szCs w:val="32"/>
        </w:rPr>
        <w:t>示范项目</w:t>
      </w:r>
      <w:r>
        <w:rPr>
          <w:rFonts w:hint="eastAsia" w:ascii="仿宋" w:hAnsi="仿宋" w:eastAsia="仿宋" w:cs="仿宋"/>
          <w:b w:val="0"/>
          <w:bCs w:val="0"/>
          <w:color w:val="auto"/>
          <w:sz w:val="32"/>
          <w:szCs w:val="32"/>
          <w:lang w:val="en-US" w:eastAsia="zh-CN"/>
        </w:rPr>
        <w:t>具备调试条件，华能涿鹿三道沟100兆瓦农光互补智慧能源项目正在办理前期</w:t>
      </w:r>
      <w:r>
        <w:rPr>
          <w:rFonts w:hint="eastAsia" w:ascii="仿宋" w:hAnsi="仿宋" w:eastAsia="仿宋" w:cs="仿宋"/>
          <w:b w:val="0"/>
          <w:bCs w:val="0"/>
          <w:color w:val="auto"/>
          <w:sz w:val="32"/>
          <w:szCs w:val="32"/>
        </w:rPr>
        <w:t>。</w:t>
      </w:r>
      <w:r>
        <w:rPr>
          <w:rFonts w:hint="eastAsia" w:ascii="仿宋" w:hAnsi="仿宋" w:eastAsia="仿宋" w:cs="仿宋"/>
          <w:b w:val="0"/>
          <w:bCs w:val="0"/>
          <w:color w:val="auto"/>
          <w:sz w:val="32"/>
          <w:szCs w:val="32"/>
          <w:lang w:val="en-US" w:eastAsia="zh-CN"/>
        </w:rPr>
        <w:t>石湖水库抽水蓄能电站项目成功签约，列入河北省“十四五”能源重点项目。</w:t>
      </w:r>
    </w:p>
    <w:p>
      <w:pPr>
        <w:keepNext w:val="0"/>
        <w:keepLines w:val="0"/>
        <w:pageBreakBefore w:val="0"/>
        <w:kinsoku/>
        <w:wordWrap/>
        <w:overflowPunct/>
        <w:topLinePunct w:val="0"/>
        <w:autoSpaceDE/>
        <w:autoSpaceDN/>
        <w:bidi w:val="0"/>
        <w:adjustRightInd/>
        <w:snapToGrid/>
        <w:spacing w:line="578"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b w:val="0"/>
          <w:bCs w:val="0"/>
          <w:color w:val="auto"/>
          <w:sz w:val="32"/>
          <w:szCs w:val="32"/>
          <w:lang w:val="en-US" w:eastAsia="zh-CN"/>
        </w:rPr>
        <w:t>4.数字经济产业。谋划实施万润涿</w:t>
      </w:r>
      <w:r>
        <w:rPr>
          <w:rFonts w:hint="eastAsia" w:ascii="仿宋" w:hAnsi="仿宋" w:eastAsia="仿宋" w:cs="仿宋"/>
          <w:color w:val="auto"/>
          <w:sz w:val="32"/>
          <w:szCs w:val="32"/>
          <w:lang w:val="en-US" w:eastAsia="zh-CN"/>
        </w:rPr>
        <w:t>鹿数字经济产业示范园、中泰信云大数据产业园、南天大数据产业园</w:t>
      </w:r>
      <w:r>
        <w:rPr>
          <w:rFonts w:hint="eastAsia" w:ascii="仿宋" w:hAnsi="仿宋" w:eastAsia="仿宋" w:cs="仿宋"/>
          <w:color w:val="auto"/>
          <w:sz w:val="32"/>
          <w:szCs w:val="32"/>
        </w:rPr>
        <w:t>等</w:t>
      </w:r>
      <w:r>
        <w:rPr>
          <w:rFonts w:hint="eastAsia" w:ascii="仿宋" w:hAnsi="仿宋" w:eastAsia="仿宋" w:cs="仿宋"/>
          <w:color w:val="auto"/>
          <w:sz w:val="32"/>
          <w:szCs w:val="32"/>
          <w:lang w:val="en-US" w:eastAsia="zh-CN"/>
        </w:rPr>
        <w:t>产业</w:t>
      </w:r>
      <w:r>
        <w:rPr>
          <w:rFonts w:hint="eastAsia" w:ascii="仿宋" w:hAnsi="仿宋" w:eastAsia="仿宋" w:cs="仿宋"/>
          <w:color w:val="auto"/>
          <w:sz w:val="32"/>
          <w:szCs w:val="32"/>
        </w:rPr>
        <w:t>项目，</w:t>
      </w:r>
      <w:r>
        <w:rPr>
          <w:rFonts w:hint="eastAsia" w:ascii="仿宋" w:hAnsi="仿宋" w:eastAsia="仿宋" w:cs="仿宋"/>
          <w:color w:val="auto"/>
          <w:sz w:val="32"/>
          <w:szCs w:val="32"/>
          <w:lang w:val="en-US" w:eastAsia="zh-CN"/>
        </w:rPr>
        <w:t>规划</w:t>
      </w:r>
      <w:r>
        <w:rPr>
          <w:rFonts w:hint="eastAsia" w:ascii="仿宋" w:hAnsi="仿宋" w:eastAsia="仿宋" w:cs="仿宋"/>
          <w:color w:val="auto"/>
          <w:sz w:val="32"/>
          <w:szCs w:val="32"/>
        </w:rPr>
        <w:t>建设高等级机柜</w:t>
      </w:r>
      <w:r>
        <w:rPr>
          <w:rFonts w:hint="eastAsia" w:ascii="仿宋" w:hAnsi="仿宋" w:eastAsia="仿宋" w:cs="仿宋"/>
          <w:color w:val="auto"/>
          <w:sz w:val="32"/>
          <w:szCs w:val="32"/>
          <w:lang w:eastAsia="zh-CN"/>
        </w:rPr>
        <w:t>近</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万个，能效达到国内先进水平。</w:t>
      </w:r>
    </w:p>
    <w:p>
      <w:pPr>
        <w:pStyle w:val="23"/>
        <w:keepNext w:val="0"/>
        <w:keepLines w:val="0"/>
        <w:pageBreakBefore w:val="0"/>
        <w:widowControl/>
        <w:kinsoku/>
        <w:wordWrap/>
        <w:overflowPunct/>
        <w:topLinePunct w:val="0"/>
        <w:autoSpaceDE/>
        <w:autoSpaceDN/>
        <w:bidi w:val="0"/>
        <w:adjustRightInd/>
        <w:snapToGrid/>
        <w:spacing w:beforeAutospacing="0" w:afterAutospacing="0" w:line="578"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5.现代农业产业。</w:t>
      </w:r>
      <w:r>
        <w:rPr>
          <w:rFonts w:hint="eastAsia" w:ascii="仿宋" w:hAnsi="仿宋" w:eastAsia="仿宋" w:cs="仿宋"/>
          <w:b w:val="0"/>
          <w:bCs w:val="0"/>
          <w:color w:val="auto"/>
          <w:sz w:val="32"/>
          <w:szCs w:val="32"/>
          <w:lang w:val="en-US" w:eastAsia="zh-CN"/>
        </w:rPr>
        <w:t>整合资金1.1亿元，推进农业产业化发展。实施鲜食玉米</w:t>
      </w:r>
      <w:r>
        <w:rPr>
          <w:rFonts w:hint="eastAsia" w:ascii="仿宋" w:hAnsi="仿宋" w:eastAsia="仿宋" w:cs="仿宋"/>
          <w:b w:val="0"/>
          <w:bCs w:val="0"/>
          <w:strike w:val="0"/>
          <w:dstrike w:val="0"/>
          <w:color w:val="auto"/>
          <w:sz w:val="32"/>
          <w:szCs w:val="32"/>
          <w:u w:val="none"/>
          <w:lang w:val="en-US" w:eastAsia="zh-CN"/>
        </w:rPr>
        <w:t>加工、</w:t>
      </w:r>
      <w:r>
        <w:rPr>
          <w:rFonts w:hint="eastAsia" w:ascii="仿宋" w:hAnsi="仿宋" w:eastAsia="仿宋" w:cs="仿宋"/>
          <w:b w:val="0"/>
          <w:bCs w:val="0"/>
          <w:color w:val="auto"/>
          <w:sz w:val="32"/>
          <w:szCs w:val="32"/>
          <w:lang w:val="en-US" w:eastAsia="zh-CN"/>
        </w:rPr>
        <w:t>罗庄食用菌基地等特色农业产业项目。</w:t>
      </w:r>
      <w:r>
        <w:rPr>
          <w:rFonts w:hint="eastAsia" w:ascii="仿宋" w:hAnsi="仿宋" w:eastAsia="仿宋" w:cs="仿宋"/>
          <w:color w:val="auto"/>
          <w:sz w:val="32"/>
          <w:szCs w:val="32"/>
        </w:rPr>
        <w:t>开展经营主体培育和农业园区创建工作，栾庄馨和松农业园区升级为市级现代农业示范园区，新建保岱县级现代农业园区和大堡青松园现代农业园区。</w:t>
      </w:r>
    </w:p>
    <w:p>
      <w:pPr>
        <w:pStyle w:val="23"/>
        <w:keepNext w:val="0"/>
        <w:keepLines w:val="0"/>
        <w:pageBreakBefore w:val="0"/>
        <w:widowControl/>
        <w:kinsoku/>
        <w:wordWrap/>
        <w:overflowPunct/>
        <w:topLinePunct w:val="0"/>
        <w:autoSpaceDE/>
        <w:autoSpaceDN/>
        <w:bidi w:val="0"/>
        <w:adjustRightInd/>
        <w:snapToGrid/>
        <w:spacing w:beforeAutospacing="0" w:afterAutospacing="0" w:line="578" w:lineRule="exact"/>
        <w:ind w:firstLine="640" w:firstLineChars="200"/>
        <w:jc w:val="both"/>
        <w:textAlignment w:val="auto"/>
        <w:rPr>
          <w:rFonts w:hint="eastAsia" w:ascii="仿宋" w:hAnsi="仿宋" w:eastAsia="仿宋" w:cs="仿宋"/>
          <w:color w:val="auto"/>
          <w:lang w:val="en-US" w:eastAsia="zh-CN"/>
        </w:rPr>
      </w:pPr>
      <w:r>
        <w:rPr>
          <w:rFonts w:hint="eastAsia" w:ascii="仿宋" w:hAnsi="仿宋" w:eastAsia="仿宋" w:cs="仿宋"/>
          <w:color w:val="auto"/>
          <w:sz w:val="32"/>
          <w:szCs w:val="32"/>
          <w:lang w:val="en-US" w:eastAsia="zh-CN"/>
        </w:rPr>
        <w:t>6.智慧物流产业。打造区域性仓储物流集散中心，推进鹿安汽配云仓产业园建设；深化与市建发集团对接合作，签约张家口现代食品冷链物流及仓储建设项目；京西宏大龙英物流园项目完成场地平整，进行围墙、临时设施和道路建设。</w:t>
      </w:r>
    </w:p>
    <w:p>
      <w:pPr>
        <w:keepNext w:val="0"/>
        <w:keepLines w:val="0"/>
        <w:pageBreakBefore w:val="0"/>
        <w:widowControl w:val="0"/>
        <w:numPr>
          <w:ilvl w:val="0"/>
          <w:numId w:val="0"/>
        </w:numPr>
        <w:shd w:val="clear" w:fill="FFFFFF" w:themeFill="background1"/>
        <w:kinsoku/>
        <w:wordWrap/>
        <w:overflowPunct w:val="0"/>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sz w:val="32"/>
          <w:szCs w:val="32"/>
          <w:lang w:val="en-US" w:eastAsia="zh-CN"/>
        </w:rPr>
      </w:pPr>
      <w:r>
        <w:rPr>
          <w:rFonts w:hint="eastAsia" w:ascii="仿宋" w:hAnsi="仿宋" w:eastAsia="仿宋" w:cs="Times New Roman"/>
          <w:kern w:val="2"/>
          <w:sz w:val="32"/>
          <w:szCs w:val="32"/>
          <w:lang w:val="en-US" w:eastAsia="zh-CN" w:bidi="ar-SA"/>
        </w:rPr>
        <w:t>该校目前社会服务功能有：学历提升教育；技能鉴定；新型职业农民培养；社区老年培训。相较群众日益增长的需要，对应专业空白，对应专业教师空白，相差甚远，需要学校做出相应专业调整或者培训方向调整。新型职业农民培养工作还能勉强进到微薄之力。但是培养层次仍需提高，职业技能鉴定中心亟待技工学校配合提升实训设施设备的“量”和“质”。</w:t>
      </w:r>
    </w:p>
    <w:p>
      <w:pPr>
        <w:pStyle w:val="21"/>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20" w:firstLineChars="200"/>
        <w:jc w:val="left"/>
        <w:textAlignment w:val="auto"/>
        <w:outlineLvl w:val="9"/>
        <w:rPr>
          <w:rFonts w:hint="default" w:ascii="仿宋" w:hAnsi="仿宋" w:eastAsia="仿宋" w:cs="Times New Roman"/>
          <w:kern w:val="2"/>
          <w:sz w:val="32"/>
          <w:szCs w:val="32"/>
          <w:lang w:val="en-US" w:eastAsia="zh-CN" w:bidi="ar-SA"/>
        </w:rPr>
      </w:pPr>
      <w:bookmarkStart w:id="160" w:name="_Toc28450"/>
      <w:r>
        <w:rPr>
          <w:rFonts w:hint="eastAsia" w:ascii="楷体" w:hAnsi="楷体" w:eastAsia="楷体" w:cs="楷体"/>
          <w:b w:val="0"/>
          <w:bCs/>
          <w:lang w:val="en-US" w:eastAsia="zh-CN"/>
        </w:rPr>
        <w:t xml:space="preserve">  </w:t>
      </w:r>
      <w:r>
        <w:rPr>
          <w:rFonts w:hint="eastAsia" w:ascii="仿宋" w:hAnsi="仿宋" w:eastAsia="仿宋" w:cs="Times New Roman"/>
          <w:kern w:val="2"/>
          <w:sz w:val="32"/>
          <w:szCs w:val="32"/>
          <w:lang w:val="en-US" w:eastAsia="zh-CN" w:bidi="ar-SA"/>
        </w:rPr>
        <w:t>挑战4.新的职业教育发展方向</w:t>
      </w:r>
      <w:r>
        <w:rPr>
          <w:rFonts w:hint="default" w:ascii="仿宋" w:hAnsi="仿宋" w:eastAsia="仿宋" w:cs="Times New Roman"/>
          <w:kern w:val="2"/>
          <w:sz w:val="32"/>
          <w:szCs w:val="32"/>
          <w:lang w:val="en-US" w:eastAsia="zh-CN" w:bidi="ar-SA"/>
        </w:rPr>
        <w:t>,</w:t>
      </w:r>
      <w:r>
        <w:rPr>
          <w:rFonts w:hint="eastAsia" w:ascii="仿宋" w:hAnsi="仿宋" w:eastAsia="仿宋" w:cs="Times New Roman"/>
          <w:kern w:val="2"/>
          <w:sz w:val="32"/>
          <w:szCs w:val="32"/>
          <w:lang w:val="en-US" w:eastAsia="zh-CN" w:bidi="ar-SA"/>
        </w:rPr>
        <w:t>向学校管理发展提出了新要求。校企合作深层次发展，产生里“</w:t>
      </w:r>
      <w:r>
        <w:rPr>
          <w:rFonts w:hint="default" w:ascii="仿宋" w:hAnsi="仿宋" w:eastAsia="仿宋" w:cs="Times New Roman"/>
          <w:kern w:val="2"/>
          <w:sz w:val="32"/>
          <w:szCs w:val="32"/>
          <w:lang w:val="en-US" w:eastAsia="zh-CN" w:bidi="ar-SA"/>
        </w:rPr>
        <w:t>2+2+2</w:t>
      </w:r>
      <w:r>
        <w:rPr>
          <w:rFonts w:hint="eastAsia" w:ascii="仿宋" w:hAnsi="仿宋" w:eastAsia="仿宋" w:cs="Times New Roman"/>
          <w:kern w:val="2"/>
          <w:sz w:val="32"/>
          <w:szCs w:val="32"/>
          <w:lang w:val="en-US" w:eastAsia="zh-CN" w:bidi="ar-SA"/>
        </w:rPr>
        <w:t>”教育模式，解决了中职技能培训的难题；校校合作贯通培养，产生“</w:t>
      </w:r>
      <w:r>
        <w:rPr>
          <w:rFonts w:hint="default" w:ascii="仿宋" w:hAnsi="仿宋" w:eastAsia="仿宋" w:cs="Times New Roman"/>
          <w:kern w:val="2"/>
          <w:sz w:val="32"/>
          <w:szCs w:val="32"/>
          <w:lang w:val="en-US" w:eastAsia="zh-CN" w:bidi="ar-SA"/>
        </w:rPr>
        <w:t>3+2</w:t>
      </w:r>
      <w:r>
        <w:rPr>
          <w:rFonts w:hint="eastAsia" w:ascii="仿宋" w:hAnsi="仿宋" w:eastAsia="仿宋" w:cs="Times New Roman"/>
          <w:kern w:val="2"/>
          <w:sz w:val="32"/>
          <w:szCs w:val="32"/>
          <w:lang w:val="en-US" w:eastAsia="zh-CN" w:bidi="ar-SA"/>
        </w:rPr>
        <w:t>”贯通培养，中职生源有了大幅度提高。随之而来的教学内容和教学进度巨大变化，要与高职院校教学工作进行对接。</w:t>
      </w:r>
    </w:p>
    <w:bookmarkEnd w:id="160"/>
    <w:p>
      <w:pPr>
        <w:pStyle w:val="6"/>
        <w:keepNext/>
        <w:keepLines/>
        <w:pageBreakBefore w:val="0"/>
        <w:widowControl w:val="0"/>
        <w:kinsoku/>
        <w:wordWrap/>
        <w:overflowPunct/>
        <w:topLinePunct w:val="0"/>
        <w:autoSpaceDE/>
        <w:autoSpaceDN/>
        <w:bidi w:val="0"/>
        <w:adjustRightInd/>
        <w:snapToGrid/>
        <w:spacing w:before="0" w:after="0" w:line="560" w:lineRule="exact"/>
        <w:ind w:firstLine="320" w:firstLineChars="100"/>
        <w:jc w:val="left"/>
        <w:textAlignment w:val="auto"/>
        <w:outlineLvl w:val="1"/>
        <w:rPr>
          <w:rFonts w:hint="default" w:ascii="楷体" w:hAnsi="楷体" w:eastAsia="楷体" w:cs="楷体"/>
          <w:b w:val="0"/>
          <w:bCs/>
          <w:lang w:val="en-US" w:eastAsia="zh-CN"/>
        </w:rPr>
      </w:pPr>
      <w:bookmarkStart w:id="161" w:name="_Toc32447"/>
      <w:r>
        <w:rPr>
          <w:rFonts w:hint="eastAsia" w:ascii="楷体" w:hAnsi="楷体" w:eastAsia="楷体" w:cs="楷体"/>
          <w:b w:val="0"/>
          <w:bCs/>
          <w:lang w:val="en-US" w:eastAsia="zh-CN"/>
        </w:rPr>
        <w:t>（二）未来展望</w:t>
      </w:r>
      <w:bookmarkEnd w:id="161"/>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2" w:lineRule="atLeast"/>
        <w:ind w:left="0" w:right="0" w:firstLine="640" w:firstLineChars="200"/>
        <w:jc w:val="left"/>
        <w:rPr>
          <w:rFonts w:hint="default"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四十年改革开放，我国经济各方面取得重大突破和长足发展，跻身世界发展前沿，经济总量排名前茅。现阶段国家发展更上一层楼，需要创造性人才和行业引领性人才，这些人才养成需要知识积累，厚积薄发，所以国家高等教育提出“强基计划”。基础学科人才负责研究引领，中低端技能人才负责构想落实。中低端技能人才成长摇篮主要是中高职院校。另外区域物质和精神发展对本土各种技能人才需求日益凸显。因此中高职院校茁壮发展的夏天已到来。主要体现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2" w:lineRule="atLeast"/>
        <w:ind w:left="0" w:right="0" w:firstLine="640" w:firstLineChars="200"/>
        <w:jc w:val="left"/>
        <w:rPr>
          <w:rFonts w:hint="default" w:ascii="仿宋" w:hAnsi="仿宋" w:eastAsia="仿宋" w:cs="Times New Roman"/>
          <w:kern w:val="2"/>
          <w:sz w:val="32"/>
          <w:szCs w:val="32"/>
          <w:lang w:val="en-US" w:eastAsia="zh-CN" w:bidi="ar-SA"/>
        </w:rPr>
      </w:pPr>
      <w:r>
        <w:rPr>
          <w:rFonts w:hint="default" w:ascii="仿宋" w:hAnsi="仿宋" w:eastAsia="仿宋" w:cs="Times New Roman"/>
          <w:kern w:val="2"/>
          <w:sz w:val="32"/>
          <w:szCs w:val="32"/>
          <w:lang w:val="en-US" w:eastAsia="zh-CN" w:bidi="ar-SA"/>
        </w:rPr>
        <w:t>1.政策支持：国家近年来高度重视职业教育工作，出台了一系列政策文件，如《国务院关于加快发展现代职业教育的决定》和《国家职业教育改革实施方案》，这些都为中等职业教育的发展提供了强有力的政策支持</w:t>
      </w:r>
      <w:r>
        <w:rPr>
          <w:rFonts w:hint="eastAsia" w:ascii="仿宋" w:hAnsi="仿宋" w:eastAsia="仿宋" w:cs="Times New Roman"/>
          <w:kern w:val="2"/>
          <w:sz w:val="32"/>
          <w:szCs w:val="32"/>
          <w:lang w:val="en-US" w:eastAsia="zh-CN" w:bidi="ar-SA"/>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2" w:lineRule="atLeast"/>
        <w:ind w:left="0" w:right="0" w:firstLine="640" w:firstLineChars="200"/>
        <w:jc w:val="left"/>
        <w:rPr>
          <w:rFonts w:hint="eastAsia" w:ascii="仿宋" w:hAnsi="仿宋" w:eastAsia="仿宋" w:cs="Times New Roman"/>
          <w:kern w:val="2"/>
          <w:sz w:val="32"/>
          <w:szCs w:val="32"/>
          <w:lang w:val="en-US" w:eastAsia="zh-CN" w:bidi="ar-SA"/>
        </w:rPr>
      </w:pPr>
      <w:r>
        <w:rPr>
          <w:rFonts w:hint="default" w:ascii="仿宋" w:hAnsi="仿宋" w:eastAsia="仿宋" w:cs="Times New Roman"/>
          <w:kern w:val="2"/>
          <w:sz w:val="32"/>
          <w:szCs w:val="32"/>
          <w:lang w:val="en-US" w:eastAsia="zh-CN" w:bidi="ar-SA"/>
        </w:rPr>
        <w:t>2.就业</w:t>
      </w:r>
      <w:r>
        <w:rPr>
          <w:rFonts w:hint="eastAsia" w:ascii="仿宋" w:hAnsi="仿宋" w:eastAsia="仿宋" w:cs="Times New Roman"/>
          <w:kern w:val="2"/>
          <w:sz w:val="32"/>
          <w:szCs w:val="32"/>
          <w:lang w:val="en-US" w:eastAsia="zh-CN" w:bidi="ar-SA"/>
        </w:rPr>
        <w:t>充分</w:t>
      </w:r>
      <w:r>
        <w:rPr>
          <w:rFonts w:hint="default" w:ascii="仿宋" w:hAnsi="仿宋" w:eastAsia="仿宋" w:cs="Times New Roman"/>
          <w:kern w:val="2"/>
          <w:sz w:val="32"/>
          <w:szCs w:val="32"/>
          <w:lang w:val="en-US" w:eastAsia="zh-CN" w:bidi="ar-SA"/>
        </w:rPr>
        <w:t>：中职毕业生的就业率一直保持在高水平，对口就业率也在70%以上。这表明中等职业教育培养的学生能够满足社会的用人需求，就业前景良好</w:t>
      </w:r>
      <w:r>
        <w:rPr>
          <w:rFonts w:hint="eastAsia" w:ascii="仿宋" w:hAnsi="仿宋" w:eastAsia="仿宋" w:cs="Times New Roman"/>
          <w:kern w:val="2"/>
          <w:sz w:val="32"/>
          <w:szCs w:val="32"/>
          <w:lang w:val="en-US" w:eastAsia="zh-CN" w:bidi="ar-SA"/>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2" w:lineRule="atLeast"/>
        <w:ind w:left="0" w:right="0" w:firstLine="640" w:firstLineChars="200"/>
        <w:jc w:val="left"/>
        <w:rPr>
          <w:rFonts w:hint="eastAsia" w:ascii="仿宋" w:hAnsi="仿宋" w:eastAsia="仿宋" w:cs="Times New Roman"/>
          <w:kern w:val="2"/>
          <w:sz w:val="32"/>
          <w:szCs w:val="32"/>
          <w:lang w:val="en-US" w:eastAsia="zh-CN" w:bidi="ar-SA"/>
        </w:rPr>
      </w:pPr>
      <w:r>
        <w:rPr>
          <w:rFonts w:hint="default" w:ascii="仿宋" w:hAnsi="仿宋" w:eastAsia="仿宋" w:cs="Times New Roman"/>
          <w:kern w:val="2"/>
          <w:sz w:val="32"/>
          <w:szCs w:val="32"/>
          <w:lang w:val="en-US" w:eastAsia="zh-CN" w:bidi="ar-SA"/>
        </w:rPr>
        <w:t>3.服务社会功能</w:t>
      </w:r>
      <w:r>
        <w:rPr>
          <w:rFonts w:hint="eastAsia" w:ascii="仿宋" w:hAnsi="仿宋" w:eastAsia="仿宋" w:cs="Times New Roman"/>
          <w:kern w:val="2"/>
          <w:sz w:val="32"/>
          <w:szCs w:val="32"/>
          <w:lang w:val="en-US" w:eastAsia="zh-CN" w:bidi="ar-SA"/>
        </w:rPr>
        <w:t>日益凸显</w:t>
      </w:r>
      <w:r>
        <w:rPr>
          <w:rFonts w:hint="default" w:ascii="仿宋" w:hAnsi="仿宋" w:eastAsia="仿宋" w:cs="Times New Roman"/>
          <w:kern w:val="2"/>
          <w:sz w:val="32"/>
          <w:szCs w:val="32"/>
          <w:lang w:val="en-US" w:eastAsia="zh-CN" w:bidi="ar-SA"/>
        </w:rPr>
        <w:t>：中等职业教育在服务脱贫攻坚、助力教育精准扶贫过程中发挥了重要作用。此外，中等职业教育还能够为学生提供一定的就业指导和职业规划服务，帮助学生更好地适应社会就业环境。</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2" w:lineRule="atLeast"/>
        <w:ind w:left="0" w:right="0" w:firstLine="640" w:firstLineChars="200"/>
        <w:jc w:val="left"/>
        <w:rPr>
          <w:rFonts w:hint="default" w:ascii="仿宋" w:hAnsi="仿宋" w:eastAsia="仿宋" w:cs="Times New Roman"/>
          <w:kern w:val="2"/>
          <w:sz w:val="32"/>
          <w:szCs w:val="32"/>
          <w:lang w:val="en-US" w:eastAsia="zh-CN" w:bidi="ar-SA"/>
        </w:rPr>
      </w:pPr>
      <w:r>
        <w:rPr>
          <w:rFonts w:hint="default" w:ascii="仿宋" w:hAnsi="仿宋" w:eastAsia="仿宋" w:cs="Times New Roman"/>
          <w:kern w:val="2"/>
          <w:sz w:val="32"/>
          <w:szCs w:val="32"/>
          <w:lang w:val="en-US" w:eastAsia="zh-CN" w:bidi="ar-SA"/>
        </w:rPr>
        <w:t>4.</w:t>
      </w:r>
      <w:r>
        <w:rPr>
          <w:rFonts w:hint="eastAsia" w:ascii="仿宋" w:hAnsi="仿宋" w:eastAsia="仿宋" w:cs="Times New Roman"/>
          <w:kern w:val="2"/>
          <w:sz w:val="32"/>
          <w:szCs w:val="32"/>
          <w:lang w:val="en-US" w:eastAsia="zh-CN" w:bidi="ar-SA"/>
        </w:rPr>
        <w:t>为</w:t>
      </w:r>
      <w:r>
        <w:rPr>
          <w:rFonts w:hint="default" w:ascii="仿宋" w:hAnsi="仿宋" w:eastAsia="仿宋" w:cs="Times New Roman"/>
          <w:kern w:val="2"/>
          <w:sz w:val="32"/>
          <w:szCs w:val="32"/>
          <w:lang w:val="en-US" w:eastAsia="zh-CN" w:bidi="ar-SA"/>
        </w:rPr>
        <w:t>教育公平</w:t>
      </w:r>
      <w:r>
        <w:rPr>
          <w:rFonts w:hint="eastAsia" w:ascii="仿宋" w:hAnsi="仿宋" w:eastAsia="仿宋" w:cs="Times New Roman"/>
          <w:kern w:val="2"/>
          <w:sz w:val="32"/>
          <w:szCs w:val="32"/>
          <w:lang w:val="en-US" w:eastAsia="zh-CN" w:bidi="ar-SA"/>
        </w:rPr>
        <w:t>筑新路</w:t>
      </w:r>
      <w:r>
        <w:rPr>
          <w:rFonts w:hint="default" w:ascii="仿宋" w:hAnsi="仿宋" w:eastAsia="仿宋" w:cs="Times New Roman"/>
          <w:kern w:val="2"/>
          <w:sz w:val="32"/>
          <w:szCs w:val="32"/>
          <w:lang w:val="en-US" w:eastAsia="zh-CN" w:bidi="ar-SA"/>
        </w:rPr>
        <w:t>：中等职业教育为初中毕业生提供了一条继续接受高等教育和职业教育的途径，为家庭经济困难的学生提供了一定的教育机会，有助于促进教育公平。</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2" w:lineRule="atLeast"/>
        <w:ind w:left="0" w:right="0" w:firstLine="640" w:firstLineChars="200"/>
        <w:jc w:val="left"/>
        <w:rPr>
          <w:rFonts w:hint="default" w:ascii="仿宋" w:hAnsi="仿宋" w:eastAsia="仿宋" w:cs="Times New Roman"/>
          <w:kern w:val="2"/>
          <w:sz w:val="32"/>
          <w:szCs w:val="32"/>
          <w:lang w:val="en-US" w:eastAsia="zh-CN" w:bidi="ar-SA"/>
        </w:rPr>
      </w:pPr>
      <w:r>
        <w:rPr>
          <w:rFonts w:hint="default" w:ascii="仿宋" w:hAnsi="仿宋" w:eastAsia="仿宋" w:cs="Times New Roman"/>
          <w:kern w:val="2"/>
          <w:sz w:val="32"/>
          <w:szCs w:val="32"/>
          <w:lang w:val="en-US" w:eastAsia="zh-CN" w:bidi="ar-SA"/>
        </w:rPr>
        <w:t>5.</w:t>
      </w:r>
      <w:r>
        <w:rPr>
          <w:rFonts w:hint="eastAsia" w:ascii="仿宋" w:hAnsi="仿宋" w:eastAsia="仿宋" w:cs="Times New Roman"/>
          <w:kern w:val="2"/>
          <w:sz w:val="32"/>
          <w:szCs w:val="32"/>
          <w:lang w:val="en-US" w:eastAsia="zh-CN" w:bidi="ar-SA"/>
        </w:rPr>
        <w:t>满足技能人才</w:t>
      </w:r>
      <w:r>
        <w:rPr>
          <w:rFonts w:hint="default" w:ascii="仿宋" w:hAnsi="仿宋" w:eastAsia="仿宋" w:cs="Times New Roman"/>
          <w:kern w:val="2"/>
          <w:sz w:val="32"/>
          <w:szCs w:val="32"/>
          <w:lang w:val="en-US" w:eastAsia="zh-CN" w:bidi="ar-SA"/>
        </w:rPr>
        <w:t>市场需求：随着中国经济的快速发展，对技术人才的需求量越来越大，中等职业教育培养的是具有较高技能水平和专业知识的技术人才，能够满足社会对人才的需求。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2" w:lineRule="atLeast"/>
        <w:ind w:left="0" w:right="0" w:firstLine="640" w:firstLineChars="200"/>
        <w:jc w:val="left"/>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该校各项办学指标都呈上升态势，硬件建设不断更新完善，教师参加各类培训年平均百余人次，其中专业教师利用寒暑假入企业实践年均3个月，年均十六人。积极调整专业培养方向，将社会文化艺术专业从“小三门”齐头并进，转为以田径为主，其他为辅的方向。航空服务专业积极探索，尝试“影视专业人才培养”，等等一系列教学调整，展现涿鹿县职业技术教育中心领导班子，努力夯实基础，奋发向前，敢为人先的管理心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2" w:lineRule="atLeast"/>
        <w:ind w:left="0" w:right="0" w:firstLine="640" w:firstLineChars="200"/>
        <w:jc w:val="left"/>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从学校总体发展方向上，一是依据自身特点和人才培养需要，主动与具备条件的企业在人才培养、技术创新、就业创业、社会服务、文化传承等方面开 展合作，学校可从校企合作中获得智力、专利、教育、劳务等报酬，具体分配由 学校按规定自行处理。企业应当依法履行实施职业教育的义务，利用资本、技术、知识、设施、设备和管理等要素参与校企合作，对与职业院校共建生产性实训基 地、技术研发中心、产业人才培养培训基地、“双师型”教师培养培训基地、技 能大师工作室、劳模和工匠人才创新工作室的企业，按规定享受减免税收等优惠政策。二是扎实推进职业教育精准扶贫，落实贫困 家庭学生资助政策，完善学校资助补充体系，确保不让一名学生“因贫失学”。精准面向全县农村建档立卡贫困家庭学生招生。面向符合条件的建档立卡贫困家庭、农村“低保”家庭、困难职工家庭和残疾人，开展技能脱贫攻坚行动。加快发展面向农村的职业教育，加大优质职业院校对贫困地区薄弱学校的对口帮扶力度，建立覆盖全县扶贫开发重点县的职业教育对口帮扶机制。服务乡村振兴战略， 支持城市涉农职业院校和县级职教中心面向“菜篮子”产品生产大县、特色农产品优势区、现代农业园区、农业规模经营主体提供技术服务和智力支持，大力开展新型职业农民等在乡从业人员技术技能培训。三是紧密对接京津冀协同发展、雄安新区规划建设等国家重大决策部署和我省经济转型、产业升级需要，优先发展先进装备制造、新能源新材料、大数据、电子信息、新型服务等一批新兴专业，改造升级传统优势专业，撤并就业率低的专业。紧密对接基本公共服务、社会建设需求，重点建设学前、护理、健康养老、家政服务等一批紧缺人才专业。探索护理专业人才培养，优化培养结构，改革培养模式，加大老年护理、社区护理、母婴护理等急需专业和高 层次护理人才分类培养力度。适应健康服务产业发展和人口老龄化趋势，支持职业院校设立健康养老、家政服务等专业，培养大批一流职业人才。对接雄安新区建设发展需求，调整优化雄安新区周边职业院校布局和专业结构，加大相关专业人才培养培训力度，为雄安新区建设发展提供高素质技术技能人才支撑。</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2" w:lineRule="atLeast"/>
        <w:ind w:left="0" w:right="0" w:firstLine="640" w:firstLineChars="200"/>
        <w:jc w:val="left"/>
        <w:rPr>
          <w:rFonts w:hint="default"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最后，该校有信心办好服务当地经济发展，群众满意的职业教育。“</w:t>
      </w:r>
      <w:r>
        <w:rPr>
          <w:rFonts w:hint="default" w:ascii="仿宋" w:hAnsi="仿宋" w:eastAsia="仿宋" w:cs="Times New Roman"/>
          <w:kern w:val="2"/>
          <w:sz w:val="32"/>
          <w:szCs w:val="32"/>
          <w:lang w:val="en-US" w:eastAsia="zh-CN" w:bidi="ar-SA"/>
        </w:rPr>
        <w:t>好风凭借力，送我上青云</w:t>
      </w:r>
      <w:r>
        <w:rPr>
          <w:rFonts w:hint="eastAsia" w:ascii="仿宋" w:hAnsi="仿宋" w:eastAsia="仿宋" w:cs="Times New Roman"/>
          <w:kern w:val="2"/>
          <w:sz w:val="32"/>
          <w:szCs w:val="32"/>
          <w:lang w:val="en-US" w:eastAsia="zh-CN" w:bidi="ar-SA"/>
        </w:rPr>
        <w:t>”。</w:t>
      </w:r>
    </w:p>
    <w:p>
      <w:pPr>
        <w:pStyle w:val="2"/>
        <w:rPr>
          <w:rFonts w:hint="eastAsia"/>
          <w:lang w:val="en-US" w:eastAsia="zh-CN"/>
        </w:rPr>
      </w:pPr>
    </w:p>
    <w:p>
      <w:pPr>
        <w:pStyle w:val="3"/>
        <w:rPr>
          <w:rFonts w:hint="eastAsia"/>
          <w:lang w:val="en-US" w:eastAsia="zh-CN"/>
        </w:rPr>
      </w:pPr>
    </w:p>
    <w:p>
      <w:pPr>
        <w:rPr>
          <w:rFonts w:hint="eastAsia"/>
          <w:lang w:val="en-US" w:eastAsia="zh-CN"/>
        </w:rPr>
      </w:pPr>
    </w:p>
    <w:p>
      <w:pPr>
        <w:pStyle w:val="2"/>
        <w:rPr>
          <w:rFonts w:hint="eastAsia"/>
          <w:lang w:val="en-US" w:eastAsia="zh-CN"/>
        </w:rPr>
      </w:pPr>
    </w:p>
    <w:p>
      <w:pPr>
        <w:pStyle w:val="3"/>
        <w:rPr>
          <w:rFonts w:hint="eastAsia"/>
          <w:lang w:val="en-US" w:eastAsia="zh-CN"/>
        </w:rPr>
      </w:pPr>
    </w:p>
    <w:p>
      <w:pPr>
        <w:rPr>
          <w:rFonts w:hint="eastAsia"/>
          <w:lang w:val="en-US" w:eastAsia="zh-CN"/>
        </w:rPr>
      </w:pPr>
    </w:p>
    <w:p>
      <w:pPr>
        <w:pStyle w:val="2"/>
        <w:rPr>
          <w:rFonts w:hint="eastAsia"/>
          <w:lang w:val="en-US" w:eastAsia="zh-CN"/>
        </w:rPr>
      </w:pPr>
    </w:p>
    <w:p>
      <w:pPr>
        <w:pStyle w:val="3"/>
        <w:rPr>
          <w:rFonts w:hint="eastAsia"/>
          <w:lang w:val="en-US" w:eastAsia="zh-CN"/>
        </w:rPr>
      </w:pPr>
    </w:p>
    <w:p>
      <w:pPr>
        <w:rPr>
          <w:rFonts w:hint="eastAsia"/>
          <w:lang w:val="en-US" w:eastAsia="zh-CN"/>
        </w:rPr>
      </w:pPr>
    </w:p>
    <w:p>
      <w:pPr>
        <w:pStyle w:val="2"/>
        <w:rPr>
          <w:rFonts w:hint="eastAsia"/>
          <w:lang w:val="en-US" w:eastAsia="zh-CN"/>
        </w:rPr>
      </w:pPr>
    </w:p>
    <w:p>
      <w:pPr>
        <w:pStyle w:val="3"/>
        <w:rPr>
          <w:rFonts w:hint="eastAsia"/>
          <w:lang w:val="en-US" w:eastAsia="zh-CN"/>
        </w:rPr>
      </w:pPr>
    </w:p>
    <w:p>
      <w:pPr>
        <w:rPr>
          <w:rFonts w:hint="eastAsia"/>
          <w:lang w:val="en-US" w:eastAsia="zh-CN"/>
        </w:rPr>
      </w:pPr>
    </w:p>
    <w:p>
      <w:pPr>
        <w:pStyle w:val="2"/>
        <w:rPr>
          <w:rFonts w:hint="eastAsia"/>
          <w:lang w:val="en-US" w:eastAsia="zh-CN"/>
        </w:rPr>
      </w:pPr>
    </w:p>
    <w:p>
      <w:pPr>
        <w:pStyle w:val="3"/>
        <w:rPr>
          <w:rFonts w:hint="eastAsia"/>
          <w:lang w:val="en-US" w:eastAsia="zh-CN"/>
        </w:rPr>
      </w:pPr>
    </w:p>
    <w:p>
      <w:pPr>
        <w:rPr>
          <w:rFonts w:hint="eastAsia"/>
          <w:lang w:val="en-US" w:eastAsia="zh-CN"/>
        </w:rPr>
      </w:pPr>
    </w:p>
    <w:p>
      <w:pPr>
        <w:spacing w:before="16" w:line="221" w:lineRule="auto"/>
        <w:ind w:left="2744"/>
        <w:jc w:val="both"/>
        <w:rPr>
          <w:rFonts w:hint="eastAsia" w:ascii="仿宋" w:hAnsi="仿宋" w:eastAsia="仿宋" w:cs="仿宋"/>
          <w:sz w:val="32"/>
          <w:szCs w:val="32"/>
        </w:rPr>
      </w:pPr>
      <w:r>
        <w:rPr>
          <w:rFonts w:hint="eastAsia" w:ascii="仿宋" w:hAnsi="仿宋" w:eastAsia="仿宋" w:cs="仿宋"/>
          <w:b/>
          <w:bCs/>
          <w:spacing w:val="-22"/>
          <w:sz w:val="32"/>
          <w:szCs w:val="32"/>
        </w:rPr>
        <w:t>表</w:t>
      </w:r>
      <w:r>
        <w:rPr>
          <w:rFonts w:hint="eastAsia" w:ascii="仿宋" w:hAnsi="仿宋" w:eastAsia="仿宋" w:cs="仿宋"/>
          <w:spacing w:val="-38"/>
          <w:sz w:val="32"/>
          <w:szCs w:val="32"/>
        </w:rPr>
        <w:t xml:space="preserve"> </w:t>
      </w:r>
      <w:r>
        <w:rPr>
          <w:rFonts w:hint="eastAsia" w:ascii="仿宋" w:hAnsi="仿宋" w:eastAsia="仿宋" w:cs="仿宋"/>
          <w:b/>
          <w:bCs/>
          <w:spacing w:val="-22"/>
          <w:sz w:val="32"/>
          <w:szCs w:val="32"/>
        </w:rPr>
        <w:t>1</w:t>
      </w:r>
      <w:r>
        <w:rPr>
          <w:rFonts w:hint="eastAsia" w:ascii="仿宋" w:hAnsi="仿宋" w:eastAsia="仿宋" w:cs="仿宋"/>
          <w:spacing w:val="-56"/>
          <w:sz w:val="32"/>
          <w:szCs w:val="32"/>
        </w:rPr>
        <w:t xml:space="preserve"> </w:t>
      </w:r>
      <w:r>
        <w:rPr>
          <w:rFonts w:hint="eastAsia" w:ascii="仿宋" w:hAnsi="仿宋" w:eastAsia="仿宋" w:cs="仿宋"/>
          <w:b/>
          <w:bCs/>
          <w:spacing w:val="-22"/>
          <w:sz w:val="32"/>
          <w:szCs w:val="32"/>
        </w:rPr>
        <w:t>人才培养质量计分卡</w:t>
      </w:r>
    </w:p>
    <w:p>
      <w:pPr>
        <w:spacing w:line="106" w:lineRule="exact"/>
        <w:jc w:val="both"/>
        <w:rPr>
          <w:rFonts w:hint="eastAsia" w:ascii="仿宋" w:hAnsi="仿宋" w:eastAsia="仿宋" w:cs="仿宋"/>
          <w:sz w:val="32"/>
          <w:szCs w:val="32"/>
        </w:rPr>
      </w:pPr>
    </w:p>
    <w:tbl>
      <w:tblPr>
        <w:tblStyle w:val="25"/>
        <w:tblW w:w="8489" w:type="dxa"/>
        <w:tblInd w:w="1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4"/>
        <w:gridCol w:w="4834"/>
        <w:gridCol w:w="769"/>
        <w:gridCol w:w="1039"/>
        <w:gridCol w:w="10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04" w:type="dxa"/>
            <w:tcBorders>
              <w:top w:val="single" w:color="000000" w:sz="4" w:space="0"/>
              <w:left w:val="single" w:color="000000" w:sz="4" w:space="0"/>
              <w:bottom w:val="single" w:color="000000" w:sz="4" w:space="0"/>
              <w:right w:val="single" w:color="000000" w:sz="4" w:space="0"/>
            </w:tcBorders>
            <w:noWrap/>
          </w:tcPr>
          <w:p>
            <w:pPr>
              <w:pStyle w:val="38"/>
              <w:spacing w:before="112" w:line="221" w:lineRule="auto"/>
              <w:ind w:left="158"/>
              <w:jc w:val="both"/>
              <w:rPr>
                <w:rFonts w:hint="eastAsia" w:ascii="仿宋" w:hAnsi="仿宋" w:eastAsia="仿宋" w:cs="仿宋"/>
                <w:sz w:val="32"/>
                <w:szCs w:val="32"/>
              </w:rPr>
            </w:pPr>
            <w:r>
              <w:rPr>
                <w:rFonts w:hint="eastAsia" w:ascii="仿宋" w:hAnsi="仿宋" w:eastAsia="仿宋" w:cs="仿宋"/>
                <w:b/>
                <w:bCs/>
                <w:spacing w:val="-5"/>
                <w:sz w:val="32"/>
                <w:szCs w:val="32"/>
              </w:rPr>
              <w:t>序号</w:t>
            </w:r>
          </w:p>
        </w:tc>
        <w:tc>
          <w:tcPr>
            <w:tcW w:w="4834" w:type="dxa"/>
            <w:tcBorders>
              <w:top w:val="single" w:color="000000" w:sz="4" w:space="0"/>
              <w:left w:val="single" w:color="000000" w:sz="4" w:space="0"/>
              <w:bottom w:val="single" w:color="000000" w:sz="4" w:space="0"/>
              <w:right w:val="single" w:color="000000" w:sz="4" w:space="0"/>
            </w:tcBorders>
            <w:noWrap/>
          </w:tcPr>
          <w:p>
            <w:pPr>
              <w:pStyle w:val="38"/>
              <w:spacing w:before="112" w:line="221" w:lineRule="auto"/>
              <w:ind w:left="2164"/>
              <w:jc w:val="both"/>
              <w:rPr>
                <w:rFonts w:hint="eastAsia" w:ascii="仿宋" w:hAnsi="仿宋" w:eastAsia="仿宋" w:cs="仿宋"/>
                <w:sz w:val="32"/>
                <w:szCs w:val="32"/>
              </w:rPr>
            </w:pPr>
            <w:r>
              <w:rPr>
                <w:rFonts w:hint="eastAsia" w:ascii="仿宋" w:hAnsi="仿宋" w:eastAsia="仿宋" w:cs="仿宋"/>
                <w:b/>
                <w:bCs/>
                <w:spacing w:val="-6"/>
                <w:sz w:val="32"/>
                <w:szCs w:val="32"/>
              </w:rPr>
              <w:t>指标</w:t>
            </w:r>
          </w:p>
        </w:tc>
        <w:tc>
          <w:tcPr>
            <w:tcW w:w="769" w:type="dxa"/>
            <w:tcBorders>
              <w:top w:val="single" w:color="000000" w:sz="4" w:space="0"/>
              <w:left w:val="single" w:color="000000" w:sz="4" w:space="0"/>
              <w:bottom w:val="single" w:color="000000" w:sz="4" w:space="0"/>
              <w:right w:val="single" w:color="000000" w:sz="4" w:space="0"/>
            </w:tcBorders>
            <w:noWrap/>
          </w:tcPr>
          <w:p>
            <w:pPr>
              <w:pStyle w:val="38"/>
              <w:spacing w:before="112" w:line="221" w:lineRule="auto"/>
              <w:ind w:left="140"/>
              <w:jc w:val="both"/>
              <w:rPr>
                <w:rFonts w:hint="eastAsia" w:ascii="仿宋" w:hAnsi="仿宋" w:eastAsia="仿宋" w:cs="仿宋"/>
                <w:sz w:val="32"/>
                <w:szCs w:val="32"/>
              </w:rPr>
            </w:pPr>
            <w:r>
              <w:rPr>
                <w:rFonts w:hint="eastAsia" w:ascii="仿宋" w:hAnsi="仿宋" w:eastAsia="仿宋" w:cs="仿宋"/>
                <w:b/>
                <w:bCs/>
                <w:spacing w:val="-6"/>
                <w:sz w:val="32"/>
                <w:szCs w:val="32"/>
              </w:rPr>
              <w:t>单位</w:t>
            </w:r>
          </w:p>
        </w:tc>
        <w:tc>
          <w:tcPr>
            <w:tcW w:w="1039" w:type="dxa"/>
            <w:tcBorders>
              <w:top w:val="single" w:color="000000" w:sz="4" w:space="0"/>
              <w:left w:val="single" w:color="000000" w:sz="4" w:space="0"/>
              <w:bottom w:val="single" w:color="000000" w:sz="4" w:space="0"/>
              <w:right w:val="single" w:color="000000" w:sz="4" w:space="0"/>
            </w:tcBorders>
            <w:noWrap/>
          </w:tcPr>
          <w:p>
            <w:pPr>
              <w:pStyle w:val="38"/>
              <w:spacing w:before="111" w:line="218" w:lineRule="auto"/>
              <w:ind w:left="151"/>
              <w:jc w:val="both"/>
              <w:rPr>
                <w:rFonts w:hint="eastAsia" w:ascii="仿宋" w:hAnsi="仿宋" w:eastAsia="仿宋" w:cs="仿宋"/>
                <w:sz w:val="32"/>
                <w:szCs w:val="32"/>
              </w:rPr>
            </w:pPr>
            <w:r>
              <w:rPr>
                <w:rFonts w:hint="eastAsia" w:ascii="仿宋" w:hAnsi="仿宋" w:eastAsia="仿宋" w:cs="仿宋"/>
                <w:b/>
                <w:bCs/>
                <w:spacing w:val="-5"/>
                <w:sz w:val="32"/>
                <w:szCs w:val="32"/>
              </w:rPr>
              <w:t>2023年</w:t>
            </w:r>
          </w:p>
        </w:tc>
        <w:tc>
          <w:tcPr>
            <w:tcW w:w="1043" w:type="dxa"/>
            <w:tcBorders>
              <w:top w:val="single" w:color="000000" w:sz="4" w:space="0"/>
              <w:left w:val="single" w:color="000000" w:sz="4" w:space="0"/>
              <w:bottom w:val="single" w:color="000000" w:sz="4" w:space="0"/>
              <w:right w:val="single" w:color="000000" w:sz="4" w:space="0"/>
            </w:tcBorders>
            <w:noWrap/>
          </w:tcPr>
          <w:p>
            <w:pPr>
              <w:pStyle w:val="38"/>
              <w:spacing w:before="111" w:line="218" w:lineRule="auto"/>
              <w:ind w:left="132"/>
              <w:jc w:val="both"/>
              <w:rPr>
                <w:rFonts w:hint="eastAsia" w:ascii="仿宋" w:hAnsi="仿宋" w:eastAsia="仿宋" w:cs="仿宋"/>
                <w:sz w:val="32"/>
                <w:szCs w:val="32"/>
              </w:rPr>
            </w:pPr>
            <w:r>
              <w:rPr>
                <w:rFonts w:hint="eastAsia" w:ascii="仿宋" w:hAnsi="仿宋" w:eastAsia="仿宋" w:cs="仿宋"/>
                <w:b/>
                <w:bCs/>
                <w:spacing w:val="-5"/>
                <w:sz w:val="32"/>
                <w:szCs w:val="32"/>
              </w:rPr>
              <w:t>2024年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804" w:type="dxa"/>
            <w:tcBorders>
              <w:top w:val="single" w:color="000000" w:sz="4" w:space="0"/>
              <w:left w:val="single" w:color="000000" w:sz="4" w:space="0"/>
              <w:bottom w:val="single" w:color="000000" w:sz="4" w:space="0"/>
              <w:right w:val="single" w:color="000000" w:sz="4" w:space="0"/>
            </w:tcBorders>
            <w:noWrap/>
          </w:tcPr>
          <w:p>
            <w:pPr>
              <w:pStyle w:val="38"/>
              <w:spacing w:before="171" w:line="185" w:lineRule="auto"/>
              <w:ind w:left="334"/>
              <w:jc w:val="both"/>
              <w:rPr>
                <w:rFonts w:hint="eastAsia" w:ascii="仿宋" w:hAnsi="仿宋" w:eastAsia="仿宋" w:cs="仿宋"/>
                <w:sz w:val="32"/>
                <w:szCs w:val="32"/>
              </w:rPr>
            </w:pPr>
            <w:r>
              <w:rPr>
                <w:rFonts w:hint="eastAsia" w:ascii="仿宋" w:hAnsi="仿宋" w:eastAsia="仿宋" w:cs="仿宋"/>
                <w:sz w:val="32"/>
                <w:szCs w:val="32"/>
              </w:rPr>
              <w:t>1</w:t>
            </w:r>
          </w:p>
        </w:tc>
        <w:tc>
          <w:tcPr>
            <w:tcW w:w="4834" w:type="dxa"/>
            <w:tcBorders>
              <w:top w:val="single" w:color="000000" w:sz="4" w:space="0"/>
              <w:left w:val="single" w:color="000000" w:sz="4" w:space="0"/>
              <w:bottom w:val="single" w:color="000000" w:sz="4" w:space="0"/>
              <w:right w:val="single" w:color="000000" w:sz="4" w:space="0"/>
            </w:tcBorders>
            <w:noWrap/>
          </w:tcPr>
          <w:p>
            <w:pPr>
              <w:pStyle w:val="38"/>
              <w:spacing w:before="111" w:line="218" w:lineRule="auto"/>
              <w:ind w:left="120"/>
              <w:jc w:val="both"/>
              <w:rPr>
                <w:rFonts w:hint="eastAsia" w:ascii="仿宋" w:hAnsi="仿宋" w:eastAsia="仿宋" w:cs="仿宋"/>
                <w:sz w:val="32"/>
                <w:szCs w:val="32"/>
              </w:rPr>
            </w:pPr>
            <w:r>
              <w:rPr>
                <w:rFonts w:hint="eastAsia" w:ascii="仿宋" w:hAnsi="仿宋" w:eastAsia="仿宋" w:cs="仿宋"/>
                <w:spacing w:val="1"/>
                <w:sz w:val="32"/>
                <w:szCs w:val="32"/>
              </w:rPr>
              <w:t>毕业生人数*</w:t>
            </w:r>
          </w:p>
        </w:tc>
        <w:tc>
          <w:tcPr>
            <w:tcW w:w="769" w:type="dxa"/>
            <w:tcBorders>
              <w:top w:val="single" w:color="000000" w:sz="4" w:space="0"/>
              <w:left w:val="single" w:color="000000" w:sz="4" w:space="0"/>
              <w:bottom w:val="single" w:color="000000" w:sz="4" w:space="0"/>
              <w:right w:val="single" w:color="000000" w:sz="4" w:space="0"/>
            </w:tcBorders>
            <w:noWrap/>
          </w:tcPr>
          <w:p>
            <w:pPr>
              <w:pStyle w:val="38"/>
              <w:spacing w:before="114" w:line="223" w:lineRule="auto"/>
              <w:ind w:left="256"/>
              <w:jc w:val="both"/>
              <w:rPr>
                <w:rFonts w:hint="eastAsia" w:ascii="仿宋" w:hAnsi="仿宋" w:eastAsia="仿宋" w:cs="仿宋"/>
                <w:sz w:val="32"/>
                <w:szCs w:val="32"/>
              </w:rPr>
            </w:pPr>
            <w:r>
              <w:rPr>
                <w:rFonts w:hint="eastAsia" w:ascii="仿宋" w:hAnsi="仿宋" w:eastAsia="仿宋" w:cs="仿宋"/>
                <w:sz w:val="32"/>
                <w:szCs w:val="32"/>
              </w:rPr>
              <w:t>人</w:t>
            </w:r>
          </w:p>
        </w:tc>
        <w:tc>
          <w:tcPr>
            <w:tcW w:w="103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767</w:t>
            </w:r>
          </w:p>
        </w:tc>
        <w:tc>
          <w:tcPr>
            <w:tcW w:w="104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702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804" w:type="dxa"/>
            <w:vMerge w:val="restart"/>
            <w:tcBorders>
              <w:top w:val="single" w:color="000000" w:sz="4" w:space="0"/>
              <w:left w:val="single" w:color="000000" w:sz="4" w:space="0"/>
              <w:bottom w:val="nil"/>
              <w:right w:val="single" w:color="000000" w:sz="4" w:space="0"/>
            </w:tcBorders>
            <w:noWrap/>
          </w:tcPr>
          <w:p>
            <w:pPr>
              <w:spacing w:line="276" w:lineRule="auto"/>
              <w:jc w:val="both"/>
              <w:rPr>
                <w:rFonts w:hint="eastAsia" w:ascii="仿宋" w:hAnsi="仿宋" w:eastAsia="仿宋" w:cs="仿宋"/>
                <w:sz w:val="32"/>
                <w:szCs w:val="32"/>
              </w:rPr>
            </w:pPr>
          </w:p>
          <w:p>
            <w:pPr>
              <w:spacing w:line="276" w:lineRule="auto"/>
              <w:jc w:val="both"/>
              <w:rPr>
                <w:rFonts w:hint="eastAsia" w:ascii="仿宋" w:hAnsi="仿宋" w:eastAsia="仿宋" w:cs="仿宋"/>
                <w:sz w:val="32"/>
                <w:szCs w:val="32"/>
              </w:rPr>
            </w:pPr>
          </w:p>
          <w:p>
            <w:pPr>
              <w:pStyle w:val="38"/>
              <w:spacing w:before="78" w:line="182" w:lineRule="auto"/>
              <w:ind w:left="334"/>
              <w:jc w:val="both"/>
              <w:rPr>
                <w:rFonts w:hint="eastAsia" w:ascii="仿宋" w:hAnsi="仿宋" w:eastAsia="仿宋" w:cs="仿宋"/>
                <w:sz w:val="32"/>
                <w:szCs w:val="32"/>
              </w:rPr>
            </w:pPr>
            <w:r>
              <w:rPr>
                <w:rFonts w:hint="eastAsia" w:ascii="仿宋" w:hAnsi="仿宋" w:eastAsia="仿宋" w:cs="仿宋"/>
                <w:sz w:val="32"/>
                <w:szCs w:val="32"/>
              </w:rPr>
              <w:t>2</w:t>
            </w:r>
          </w:p>
        </w:tc>
        <w:tc>
          <w:tcPr>
            <w:tcW w:w="4834" w:type="dxa"/>
            <w:tcBorders>
              <w:top w:val="single" w:color="000000" w:sz="4" w:space="0"/>
              <w:left w:val="single" w:color="000000" w:sz="4" w:space="0"/>
              <w:bottom w:val="single" w:color="000000" w:sz="4" w:space="0"/>
              <w:right w:val="single" w:color="000000" w:sz="4" w:space="0"/>
            </w:tcBorders>
            <w:noWrap/>
          </w:tcPr>
          <w:p>
            <w:pPr>
              <w:pStyle w:val="38"/>
              <w:spacing w:before="112" w:line="218" w:lineRule="auto"/>
              <w:ind w:left="120"/>
              <w:jc w:val="both"/>
              <w:rPr>
                <w:rFonts w:hint="eastAsia" w:ascii="仿宋" w:hAnsi="仿宋" w:eastAsia="仿宋" w:cs="仿宋"/>
                <w:sz w:val="32"/>
                <w:szCs w:val="32"/>
              </w:rPr>
            </w:pPr>
            <w:r>
              <w:rPr>
                <w:rFonts w:hint="eastAsia" w:ascii="仿宋" w:hAnsi="仿宋" w:eastAsia="仿宋" w:cs="仿宋"/>
                <w:spacing w:val="1"/>
                <w:sz w:val="32"/>
                <w:szCs w:val="32"/>
              </w:rPr>
              <w:t>毕业生去向落实人数</w:t>
            </w:r>
          </w:p>
        </w:tc>
        <w:tc>
          <w:tcPr>
            <w:tcW w:w="769" w:type="dxa"/>
            <w:tcBorders>
              <w:top w:val="single" w:color="000000" w:sz="4" w:space="0"/>
              <w:left w:val="single" w:color="000000" w:sz="4" w:space="0"/>
              <w:bottom w:val="single" w:color="000000" w:sz="4" w:space="0"/>
              <w:right w:val="single" w:color="000000" w:sz="4" w:space="0"/>
            </w:tcBorders>
            <w:noWrap/>
          </w:tcPr>
          <w:p>
            <w:pPr>
              <w:pStyle w:val="38"/>
              <w:spacing w:before="115" w:line="223" w:lineRule="auto"/>
              <w:ind w:left="256"/>
              <w:jc w:val="both"/>
              <w:rPr>
                <w:rFonts w:hint="eastAsia" w:ascii="仿宋" w:hAnsi="仿宋" w:eastAsia="仿宋" w:cs="仿宋"/>
                <w:sz w:val="32"/>
                <w:szCs w:val="32"/>
              </w:rPr>
            </w:pPr>
            <w:r>
              <w:rPr>
                <w:rFonts w:hint="eastAsia" w:ascii="仿宋" w:hAnsi="仿宋" w:eastAsia="仿宋" w:cs="仿宋"/>
                <w:sz w:val="32"/>
                <w:szCs w:val="32"/>
              </w:rPr>
              <w:t>人</w:t>
            </w:r>
          </w:p>
        </w:tc>
        <w:tc>
          <w:tcPr>
            <w:tcW w:w="103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767</w:t>
            </w:r>
          </w:p>
        </w:tc>
        <w:tc>
          <w:tcPr>
            <w:tcW w:w="104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702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80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34" w:type="dxa"/>
            <w:tcBorders>
              <w:top w:val="single" w:color="000000" w:sz="4" w:space="0"/>
              <w:left w:val="single" w:color="000000" w:sz="4" w:space="0"/>
              <w:bottom w:val="single" w:color="000000" w:sz="4" w:space="0"/>
              <w:right w:val="single" w:color="000000" w:sz="4" w:space="0"/>
            </w:tcBorders>
            <w:noWrap/>
          </w:tcPr>
          <w:p>
            <w:pPr>
              <w:pStyle w:val="38"/>
              <w:spacing w:before="112" w:line="218" w:lineRule="auto"/>
              <w:ind w:left="120"/>
              <w:jc w:val="both"/>
              <w:rPr>
                <w:rFonts w:hint="eastAsia" w:ascii="仿宋" w:hAnsi="仿宋" w:eastAsia="仿宋" w:cs="仿宋"/>
                <w:sz w:val="32"/>
                <w:szCs w:val="32"/>
              </w:rPr>
            </w:pPr>
            <w:r>
              <w:rPr>
                <w:rFonts w:hint="eastAsia" w:ascii="仿宋" w:hAnsi="仿宋" w:eastAsia="仿宋" w:cs="仿宋"/>
                <w:spacing w:val="1"/>
                <w:sz w:val="32"/>
                <w:szCs w:val="32"/>
              </w:rPr>
              <w:t>其中：升学人数</w:t>
            </w:r>
          </w:p>
        </w:tc>
        <w:tc>
          <w:tcPr>
            <w:tcW w:w="769" w:type="dxa"/>
            <w:tcBorders>
              <w:top w:val="single" w:color="000000" w:sz="4" w:space="0"/>
              <w:left w:val="single" w:color="000000" w:sz="4" w:space="0"/>
              <w:bottom w:val="single" w:color="000000" w:sz="4" w:space="0"/>
              <w:right w:val="single" w:color="000000" w:sz="4" w:space="0"/>
            </w:tcBorders>
            <w:noWrap/>
          </w:tcPr>
          <w:p>
            <w:pPr>
              <w:pStyle w:val="38"/>
              <w:spacing w:before="116" w:line="223" w:lineRule="auto"/>
              <w:ind w:left="256"/>
              <w:jc w:val="both"/>
              <w:rPr>
                <w:rFonts w:hint="eastAsia" w:ascii="仿宋" w:hAnsi="仿宋" w:eastAsia="仿宋" w:cs="仿宋"/>
                <w:sz w:val="32"/>
                <w:szCs w:val="32"/>
              </w:rPr>
            </w:pPr>
            <w:r>
              <w:rPr>
                <w:rFonts w:hint="eastAsia" w:ascii="仿宋" w:hAnsi="仿宋" w:eastAsia="仿宋" w:cs="仿宋"/>
                <w:sz w:val="32"/>
                <w:szCs w:val="32"/>
              </w:rPr>
              <w:t>人</w:t>
            </w:r>
          </w:p>
        </w:tc>
        <w:tc>
          <w:tcPr>
            <w:tcW w:w="103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269</w:t>
            </w:r>
          </w:p>
        </w:tc>
        <w:tc>
          <w:tcPr>
            <w:tcW w:w="104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287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804" w:type="dxa"/>
            <w:vMerge w:val="continue"/>
            <w:tcBorders>
              <w:top w:val="nil"/>
              <w:left w:val="single" w:color="000000" w:sz="4" w:space="0"/>
              <w:bottom w:val="single" w:color="000000" w:sz="4" w:space="0"/>
              <w:right w:val="single" w:color="000000" w:sz="4" w:space="0"/>
            </w:tcBorders>
            <w:noWrap/>
          </w:tcPr>
          <w:p>
            <w:pPr>
              <w:rPr>
                <w:rFonts w:hint="eastAsia" w:ascii="仿宋" w:hAnsi="仿宋" w:eastAsia="仿宋" w:cs="仿宋"/>
                <w:sz w:val="32"/>
                <w:szCs w:val="32"/>
              </w:rPr>
            </w:pPr>
          </w:p>
        </w:tc>
        <w:tc>
          <w:tcPr>
            <w:tcW w:w="4834" w:type="dxa"/>
            <w:tcBorders>
              <w:top w:val="single" w:color="000000" w:sz="4" w:space="0"/>
              <w:left w:val="single" w:color="000000" w:sz="4" w:space="0"/>
              <w:bottom w:val="single" w:color="000000" w:sz="4" w:space="0"/>
              <w:right w:val="single" w:color="000000" w:sz="4" w:space="0"/>
            </w:tcBorders>
            <w:noWrap/>
          </w:tcPr>
          <w:p>
            <w:pPr>
              <w:pStyle w:val="38"/>
              <w:spacing w:before="112" w:line="218" w:lineRule="auto"/>
              <w:ind w:left="810"/>
              <w:jc w:val="both"/>
              <w:rPr>
                <w:rFonts w:hint="eastAsia" w:ascii="仿宋" w:hAnsi="仿宋" w:eastAsia="仿宋" w:cs="仿宋"/>
                <w:sz w:val="32"/>
                <w:szCs w:val="32"/>
              </w:rPr>
            </w:pPr>
            <w:r>
              <w:rPr>
                <w:rFonts w:hint="eastAsia" w:ascii="仿宋" w:hAnsi="仿宋" w:eastAsia="仿宋" w:cs="仿宋"/>
                <w:spacing w:val="1"/>
                <w:sz w:val="32"/>
                <w:szCs w:val="32"/>
              </w:rPr>
              <w:t>升入本科人数</w:t>
            </w:r>
          </w:p>
        </w:tc>
        <w:tc>
          <w:tcPr>
            <w:tcW w:w="769" w:type="dxa"/>
            <w:tcBorders>
              <w:top w:val="single" w:color="000000" w:sz="4" w:space="0"/>
              <w:left w:val="single" w:color="000000" w:sz="4" w:space="0"/>
              <w:bottom w:val="single" w:color="000000" w:sz="4" w:space="0"/>
              <w:right w:val="single" w:color="000000" w:sz="4" w:space="0"/>
            </w:tcBorders>
            <w:noWrap/>
          </w:tcPr>
          <w:p>
            <w:pPr>
              <w:pStyle w:val="38"/>
              <w:spacing w:before="117" w:line="223" w:lineRule="auto"/>
              <w:ind w:left="256"/>
              <w:jc w:val="both"/>
              <w:rPr>
                <w:rFonts w:hint="eastAsia" w:ascii="仿宋" w:hAnsi="仿宋" w:eastAsia="仿宋" w:cs="仿宋"/>
                <w:sz w:val="32"/>
                <w:szCs w:val="32"/>
              </w:rPr>
            </w:pPr>
            <w:r>
              <w:rPr>
                <w:rFonts w:hint="eastAsia" w:ascii="仿宋" w:hAnsi="仿宋" w:eastAsia="仿宋" w:cs="仿宋"/>
                <w:sz w:val="32"/>
                <w:szCs w:val="32"/>
              </w:rPr>
              <w:t>人</w:t>
            </w:r>
          </w:p>
        </w:tc>
        <w:tc>
          <w:tcPr>
            <w:tcW w:w="103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19</w:t>
            </w:r>
          </w:p>
        </w:tc>
        <w:tc>
          <w:tcPr>
            <w:tcW w:w="104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804" w:type="dxa"/>
            <w:tcBorders>
              <w:top w:val="single" w:color="000000" w:sz="4" w:space="0"/>
              <w:left w:val="single" w:color="000000" w:sz="4" w:space="0"/>
              <w:bottom w:val="single" w:color="000000" w:sz="4" w:space="0"/>
              <w:right w:val="single" w:color="000000" w:sz="4" w:space="0"/>
            </w:tcBorders>
            <w:noWrap/>
          </w:tcPr>
          <w:p>
            <w:pPr>
              <w:pStyle w:val="38"/>
              <w:spacing w:before="175" w:line="182" w:lineRule="auto"/>
              <w:ind w:left="334"/>
              <w:jc w:val="both"/>
              <w:rPr>
                <w:rFonts w:hint="eastAsia" w:ascii="仿宋" w:hAnsi="仿宋" w:eastAsia="仿宋" w:cs="仿宋"/>
                <w:sz w:val="32"/>
                <w:szCs w:val="32"/>
              </w:rPr>
            </w:pPr>
            <w:r>
              <w:rPr>
                <w:rFonts w:hint="eastAsia" w:ascii="仿宋" w:hAnsi="仿宋" w:eastAsia="仿宋" w:cs="仿宋"/>
                <w:sz w:val="32"/>
                <w:szCs w:val="32"/>
              </w:rPr>
              <w:t>3</w:t>
            </w:r>
          </w:p>
        </w:tc>
        <w:tc>
          <w:tcPr>
            <w:tcW w:w="4834" w:type="dxa"/>
            <w:tcBorders>
              <w:top w:val="single" w:color="000000" w:sz="4" w:space="0"/>
              <w:left w:val="single" w:color="000000" w:sz="4" w:space="0"/>
              <w:bottom w:val="single" w:color="000000" w:sz="4" w:space="0"/>
              <w:right w:val="single" w:color="000000" w:sz="4" w:space="0"/>
            </w:tcBorders>
            <w:noWrap/>
          </w:tcPr>
          <w:p>
            <w:pPr>
              <w:pStyle w:val="38"/>
              <w:spacing w:before="112" w:line="218" w:lineRule="auto"/>
              <w:ind w:left="120"/>
              <w:jc w:val="both"/>
              <w:rPr>
                <w:rFonts w:hint="eastAsia" w:ascii="仿宋" w:hAnsi="仿宋" w:eastAsia="仿宋" w:cs="仿宋"/>
                <w:sz w:val="32"/>
                <w:szCs w:val="32"/>
              </w:rPr>
            </w:pPr>
            <w:r>
              <w:rPr>
                <w:rFonts w:hint="eastAsia" w:ascii="仿宋" w:hAnsi="仿宋" w:eastAsia="仿宋" w:cs="仿宋"/>
                <w:spacing w:val="1"/>
                <w:sz w:val="32"/>
                <w:szCs w:val="32"/>
              </w:rPr>
              <w:t>毕业生本省去向落实率</w:t>
            </w:r>
          </w:p>
        </w:tc>
        <w:tc>
          <w:tcPr>
            <w:tcW w:w="769" w:type="dxa"/>
            <w:tcBorders>
              <w:top w:val="single" w:color="000000" w:sz="4" w:space="0"/>
              <w:left w:val="single" w:color="000000" w:sz="4" w:space="0"/>
              <w:bottom w:val="single" w:color="000000" w:sz="4" w:space="0"/>
              <w:right w:val="single" w:color="000000" w:sz="4" w:space="0"/>
            </w:tcBorders>
            <w:noWrap/>
          </w:tcPr>
          <w:p>
            <w:pPr>
              <w:pStyle w:val="38"/>
              <w:spacing w:before="138" w:line="240" w:lineRule="auto"/>
              <w:ind w:left="317"/>
              <w:jc w:val="both"/>
              <w:rPr>
                <w:rFonts w:hint="eastAsia" w:ascii="仿宋" w:hAnsi="仿宋" w:eastAsia="仿宋" w:cs="仿宋"/>
                <w:sz w:val="32"/>
                <w:szCs w:val="32"/>
              </w:rPr>
            </w:pPr>
            <w:r>
              <w:rPr>
                <w:rFonts w:hint="eastAsia" w:ascii="仿宋" w:hAnsi="仿宋" w:eastAsia="仿宋" w:cs="仿宋"/>
                <w:sz w:val="32"/>
                <w:szCs w:val="32"/>
              </w:rPr>
              <w:t>%</w:t>
            </w:r>
          </w:p>
        </w:tc>
        <w:tc>
          <w:tcPr>
            <w:tcW w:w="103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100</w:t>
            </w:r>
          </w:p>
        </w:tc>
        <w:tc>
          <w:tcPr>
            <w:tcW w:w="104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804" w:type="dxa"/>
            <w:tcBorders>
              <w:top w:val="single" w:color="000000" w:sz="4" w:space="0"/>
              <w:left w:val="single" w:color="000000" w:sz="4" w:space="0"/>
              <w:bottom w:val="single" w:color="000000" w:sz="4" w:space="0"/>
              <w:right w:val="single" w:color="000000" w:sz="4" w:space="0"/>
            </w:tcBorders>
            <w:noWrap/>
          </w:tcPr>
          <w:p>
            <w:pPr>
              <w:pStyle w:val="38"/>
              <w:spacing w:before="176" w:line="182" w:lineRule="auto"/>
              <w:ind w:left="334"/>
              <w:jc w:val="both"/>
              <w:rPr>
                <w:rFonts w:hint="eastAsia" w:ascii="仿宋" w:hAnsi="仿宋" w:eastAsia="仿宋" w:cs="仿宋"/>
                <w:sz w:val="32"/>
                <w:szCs w:val="32"/>
              </w:rPr>
            </w:pPr>
            <w:r>
              <w:rPr>
                <w:rFonts w:hint="eastAsia" w:ascii="仿宋" w:hAnsi="仿宋" w:eastAsia="仿宋" w:cs="仿宋"/>
                <w:sz w:val="32"/>
                <w:szCs w:val="32"/>
              </w:rPr>
              <w:t>4</w:t>
            </w:r>
          </w:p>
        </w:tc>
        <w:tc>
          <w:tcPr>
            <w:tcW w:w="4834" w:type="dxa"/>
            <w:tcBorders>
              <w:top w:val="single" w:color="000000" w:sz="4" w:space="0"/>
              <w:left w:val="single" w:color="000000" w:sz="4" w:space="0"/>
              <w:bottom w:val="single" w:color="000000" w:sz="4" w:space="0"/>
              <w:right w:val="single" w:color="000000" w:sz="4" w:space="0"/>
            </w:tcBorders>
            <w:noWrap/>
          </w:tcPr>
          <w:p>
            <w:pPr>
              <w:pStyle w:val="38"/>
              <w:spacing w:before="115" w:line="218" w:lineRule="auto"/>
              <w:ind w:left="120"/>
              <w:jc w:val="both"/>
              <w:rPr>
                <w:rFonts w:hint="eastAsia" w:ascii="仿宋" w:hAnsi="仿宋" w:eastAsia="仿宋" w:cs="仿宋"/>
                <w:sz w:val="32"/>
                <w:szCs w:val="32"/>
              </w:rPr>
            </w:pPr>
            <w:r>
              <w:rPr>
                <w:rFonts w:hint="eastAsia" w:ascii="仿宋" w:hAnsi="仿宋" w:eastAsia="仿宋" w:cs="仿宋"/>
                <w:spacing w:val="3"/>
                <w:sz w:val="32"/>
                <w:szCs w:val="32"/>
              </w:rPr>
              <w:t>月收入</w:t>
            </w:r>
          </w:p>
        </w:tc>
        <w:tc>
          <w:tcPr>
            <w:tcW w:w="769" w:type="dxa"/>
            <w:tcBorders>
              <w:top w:val="single" w:color="000000" w:sz="4" w:space="0"/>
              <w:left w:val="single" w:color="000000" w:sz="4" w:space="0"/>
              <w:bottom w:val="single" w:color="000000" w:sz="4" w:space="0"/>
              <w:right w:val="single" w:color="000000" w:sz="4" w:space="0"/>
            </w:tcBorders>
            <w:noWrap/>
          </w:tcPr>
          <w:p>
            <w:pPr>
              <w:pStyle w:val="38"/>
              <w:spacing w:before="115" w:line="221" w:lineRule="auto"/>
              <w:ind w:left="256"/>
              <w:jc w:val="both"/>
              <w:rPr>
                <w:rFonts w:hint="eastAsia" w:ascii="仿宋" w:hAnsi="仿宋" w:eastAsia="仿宋" w:cs="仿宋"/>
                <w:sz w:val="32"/>
                <w:szCs w:val="32"/>
              </w:rPr>
            </w:pPr>
            <w:r>
              <w:rPr>
                <w:rFonts w:hint="eastAsia" w:ascii="仿宋" w:hAnsi="仿宋" w:eastAsia="仿宋" w:cs="仿宋"/>
                <w:sz w:val="32"/>
                <w:szCs w:val="32"/>
              </w:rPr>
              <w:t>元</w:t>
            </w:r>
          </w:p>
        </w:tc>
        <w:tc>
          <w:tcPr>
            <w:tcW w:w="103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4000</w:t>
            </w:r>
          </w:p>
        </w:tc>
        <w:tc>
          <w:tcPr>
            <w:tcW w:w="104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4500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804" w:type="dxa"/>
            <w:vMerge w:val="restart"/>
            <w:tcBorders>
              <w:top w:val="single" w:color="000000" w:sz="4" w:space="0"/>
              <w:left w:val="single" w:color="000000" w:sz="4" w:space="0"/>
              <w:bottom w:val="nil"/>
              <w:right w:val="single" w:color="000000" w:sz="4" w:space="0"/>
            </w:tcBorders>
            <w:noWrap/>
          </w:tcPr>
          <w:p>
            <w:pPr>
              <w:spacing w:line="264" w:lineRule="auto"/>
              <w:jc w:val="both"/>
              <w:rPr>
                <w:rFonts w:hint="eastAsia" w:ascii="仿宋" w:hAnsi="仿宋" w:eastAsia="仿宋" w:cs="仿宋"/>
                <w:sz w:val="32"/>
                <w:szCs w:val="32"/>
              </w:rPr>
            </w:pPr>
          </w:p>
          <w:p>
            <w:pPr>
              <w:spacing w:line="264" w:lineRule="auto"/>
              <w:jc w:val="both"/>
              <w:rPr>
                <w:rFonts w:hint="eastAsia" w:ascii="仿宋" w:hAnsi="仿宋" w:eastAsia="仿宋" w:cs="仿宋"/>
                <w:sz w:val="32"/>
                <w:szCs w:val="32"/>
              </w:rPr>
            </w:pPr>
          </w:p>
          <w:p>
            <w:pPr>
              <w:spacing w:line="266" w:lineRule="auto"/>
              <w:jc w:val="both"/>
              <w:rPr>
                <w:rFonts w:hint="eastAsia" w:ascii="仿宋" w:hAnsi="仿宋" w:eastAsia="仿宋" w:cs="仿宋"/>
                <w:sz w:val="32"/>
                <w:szCs w:val="32"/>
              </w:rPr>
            </w:pPr>
          </w:p>
          <w:p>
            <w:pPr>
              <w:pStyle w:val="38"/>
              <w:spacing w:before="78" w:line="182" w:lineRule="auto"/>
              <w:ind w:left="334"/>
              <w:jc w:val="both"/>
              <w:rPr>
                <w:rFonts w:hint="eastAsia" w:ascii="仿宋" w:hAnsi="仿宋" w:eastAsia="仿宋" w:cs="仿宋"/>
                <w:sz w:val="32"/>
                <w:szCs w:val="32"/>
              </w:rPr>
            </w:pPr>
            <w:r>
              <w:rPr>
                <w:rFonts w:hint="eastAsia" w:ascii="仿宋" w:hAnsi="仿宋" w:eastAsia="仿宋" w:cs="仿宋"/>
                <w:sz w:val="32"/>
                <w:szCs w:val="32"/>
              </w:rPr>
              <w:t>5</w:t>
            </w:r>
          </w:p>
        </w:tc>
        <w:tc>
          <w:tcPr>
            <w:tcW w:w="4834" w:type="dxa"/>
            <w:tcBorders>
              <w:top w:val="single" w:color="000000" w:sz="4" w:space="0"/>
              <w:left w:val="single" w:color="000000" w:sz="4" w:space="0"/>
              <w:bottom w:val="single" w:color="000000" w:sz="4" w:space="0"/>
              <w:right w:val="single" w:color="000000" w:sz="4" w:space="0"/>
            </w:tcBorders>
            <w:noWrap/>
          </w:tcPr>
          <w:p>
            <w:pPr>
              <w:pStyle w:val="38"/>
              <w:spacing w:before="116" w:line="218" w:lineRule="auto"/>
              <w:ind w:left="120"/>
              <w:jc w:val="both"/>
              <w:rPr>
                <w:rFonts w:hint="eastAsia" w:ascii="仿宋" w:hAnsi="仿宋" w:eastAsia="仿宋" w:cs="仿宋"/>
                <w:sz w:val="32"/>
                <w:szCs w:val="32"/>
              </w:rPr>
            </w:pPr>
            <w:r>
              <w:rPr>
                <w:rFonts w:hint="eastAsia" w:ascii="仿宋" w:hAnsi="仿宋" w:eastAsia="仿宋" w:cs="仿宋"/>
                <w:sz w:val="32"/>
                <w:szCs w:val="32"/>
              </w:rPr>
              <w:t>毕业生面向三次产业就业人数</w:t>
            </w:r>
          </w:p>
        </w:tc>
        <w:tc>
          <w:tcPr>
            <w:tcW w:w="769" w:type="dxa"/>
            <w:tcBorders>
              <w:top w:val="single" w:color="000000" w:sz="4" w:space="0"/>
              <w:left w:val="single" w:color="000000" w:sz="4" w:space="0"/>
              <w:bottom w:val="single" w:color="000000" w:sz="4" w:space="0"/>
              <w:right w:val="single" w:color="000000" w:sz="4" w:space="0"/>
            </w:tcBorders>
            <w:noWrap/>
          </w:tcPr>
          <w:p>
            <w:pPr>
              <w:pStyle w:val="38"/>
              <w:spacing w:before="119" w:line="223" w:lineRule="auto"/>
              <w:ind w:left="256"/>
              <w:jc w:val="both"/>
              <w:rPr>
                <w:rFonts w:hint="eastAsia" w:ascii="仿宋" w:hAnsi="仿宋" w:eastAsia="仿宋" w:cs="仿宋"/>
                <w:sz w:val="32"/>
                <w:szCs w:val="32"/>
              </w:rPr>
            </w:pPr>
            <w:r>
              <w:rPr>
                <w:rFonts w:hint="eastAsia" w:ascii="仿宋" w:hAnsi="仿宋" w:eastAsia="仿宋" w:cs="仿宋"/>
                <w:sz w:val="32"/>
                <w:szCs w:val="32"/>
              </w:rPr>
              <w:t>人</w:t>
            </w:r>
          </w:p>
        </w:tc>
        <w:tc>
          <w:tcPr>
            <w:tcW w:w="103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498</w:t>
            </w:r>
          </w:p>
        </w:tc>
        <w:tc>
          <w:tcPr>
            <w:tcW w:w="104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415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80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34" w:type="dxa"/>
            <w:tcBorders>
              <w:top w:val="single" w:color="000000" w:sz="4" w:space="0"/>
              <w:left w:val="single" w:color="000000" w:sz="4" w:space="0"/>
              <w:bottom w:val="single" w:color="000000" w:sz="4" w:space="0"/>
              <w:right w:val="single" w:color="000000" w:sz="4" w:space="0"/>
            </w:tcBorders>
            <w:noWrap/>
          </w:tcPr>
          <w:p>
            <w:pPr>
              <w:pStyle w:val="38"/>
              <w:spacing w:before="116" w:line="218" w:lineRule="auto"/>
              <w:ind w:left="120"/>
              <w:jc w:val="both"/>
              <w:rPr>
                <w:rFonts w:hint="eastAsia" w:ascii="仿宋" w:hAnsi="仿宋" w:eastAsia="仿宋" w:cs="仿宋"/>
                <w:sz w:val="32"/>
                <w:szCs w:val="32"/>
              </w:rPr>
            </w:pPr>
            <w:r>
              <w:rPr>
                <w:rFonts w:hint="eastAsia" w:ascii="仿宋" w:hAnsi="仿宋" w:eastAsia="仿宋" w:cs="仿宋"/>
                <w:sz w:val="32"/>
                <w:szCs w:val="32"/>
              </w:rPr>
              <w:t>其中：面向第一产业就业人数</w:t>
            </w:r>
          </w:p>
        </w:tc>
        <w:tc>
          <w:tcPr>
            <w:tcW w:w="769" w:type="dxa"/>
            <w:tcBorders>
              <w:top w:val="single" w:color="000000" w:sz="4" w:space="0"/>
              <w:left w:val="single" w:color="000000" w:sz="4" w:space="0"/>
              <w:bottom w:val="single" w:color="000000" w:sz="4" w:space="0"/>
              <w:right w:val="single" w:color="000000" w:sz="4" w:space="0"/>
            </w:tcBorders>
            <w:noWrap/>
          </w:tcPr>
          <w:p>
            <w:pPr>
              <w:pStyle w:val="38"/>
              <w:spacing w:before="120" w:line="223" w:lineRule="auto"/>
              <w:ind w:left="256"/>
              <w:jc w:val="both"/>
              <w:rPr>
                <w:rFonts w:hint="eastAsia" w:ascii="仿宋" w:hAnsi="仿宋" w:eastAsia="仿宋" w:cs="仿宋"/>
                <w:sz w:val="32"/>
                <w:szCs w:val="32"/>
              </w:rPr>
            </w:pPr>
            <w:r>
              <w:rPr>
                <w:rFonts w:hint="eastAsia" w:ascii="仿宋" w:hAnsi="仿宋" w:eastAsia="仿宋" w:cs="仿宋"/>
                <w:sz w:val="32"/>
                <w:szCs w:val="32"/>
              </w:rPr>
              <w:t>人</w:t>
            </w:r>
          </w:p>
        </w:tc>
        <w:tc>
          <w:tcPr>
            <w:tcW w:w="103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28</w:t>
            </w:r>
          </w:p>
        </w:tc>
        <w:tc>
          <w:tcPr>
            <w:tcW w:w="104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80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34" w:type="dxa"/>
            <w:tcBorders>
              <w:top w:val="single" w:color="000000" w:sz="4" w:space="0"/>
              <w:left w:val="single" w:color="000000" w:sz="4" w:space="0"/>
              <w:bottom w:val="single" w:color="000000" w:sz="4" w:space="0"/>
              <w:right w:val="single" w:color="000000" w:sz="4" w:space="0"/>
            </w:tcBorders>
            <w:noWrap/>
          </w:tcPr>
          <w:p>
            <w:pPr>
              <w:pStyle w:val="38"/>
              <w:spacing w:before="116" w:line="218" w:lineRule="auto"/>
              <w:ind w:left="841"/>
              <w:jc w:val="both"/>
              <w:rPr>
                <w:rFonts w:hint="eastAsia" w:ascii="仿宋" w:hAnsi="仿宋" w:eastAsia="仿宋" w:cs="仿宋"/>
                <w:sz w:val="32"/>
                <w:szCs w:val="32"/>
              </w:rPr>
            </w:pPr>
            <w:r>
              <w:rPr>
                <w:rFonts w:hint="eastAsia" w:ascii="仿宋" w:hAnsi="仿宋" w:eastAsia="仿宋" w:cs="仿宋"/>
                <w:spacing w:val="1"/>
                <w:sz w:val="32"/>
                <w:szCs w:val="32"/>
              </w:rPr>
              <w:t>面向第二产业就业人数</w:t>
            </w:r>
          </w:p>
        </w:tc>
        <w:tc>
          <w:tcPr>
            <w:tcW w:w="769" w:type="dxa"/>
            <w:tcBorders>
              <w:top w:val="single" w:color="000000" w:sz="4" w:space="0"/>
              <w:left w:val="single" w:color="000000" w:sz="4" w:space="0"/>
              <w:bottom w:val="single" w:color="000000" w:sz="4" w:space="0"/>
              <w:right w:val="single" w:color="000000" w:sz="4" w:space="0"/>
            </w:tcBorders>
            <w:noWrap/>
          </w:tcPr>
          <w:p>
            <w:pPr>
              <w:pStyle w:val="38"/>
              <w:spacing w:before="120" w:line="223" w:lineRule="auto"/>
              <w:ind w:left="256"/>
              <w:jc w:val="both"/>
              <w:rPr>
                <w:rFonts w:hint="eastAsia" w:ascii="仿宋" w:hAnsi="仿宋" w:eastAsia="仿宋" w:cs="仿宋"/>
                <w:sz w:val="32"/>
                <w:szCs w:val="32"/>
              </w:rPr>
            </w:pPr>
            <w:r>
              <w:rPr>
                <w:rFonts w:hint="eastAsia" w:ascii="仿宋" w:hAnsi="仿宋" w:eastAsia="仿宋" w:cs="仿宋"/>
                <w:sz w:val="32"/>
                <w:szCs w:val="32"/>
              </w:rPr>
              <w:t>人</w:t>
            </w:r>
          </w:p>
        </w:tc>
        <w:tc>
          <w:tcPr>
            <w:tcW w:w="103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40</w:t>
            </w:r>
          </w:p>
        </w:tc>
        <w:tc>
          <w:tcPr>
            <w:tcW w:w="104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804" w:type="dxa"/>
            <w:vMerge w:val="continue"/>
            <w:tcBorders>
              <w:top w:val="nil"/>
              <w:left w:val="single" w:color="000000" w:sz="4" w:space="0"/>
              <w:bottom w:val="single" w:color="000000" w:sz="4" w:space="0"/>
              <w:right w:val="single" w:color="000000" w:sz="4" w:space="0"/>
            </w:tcBorders>
            <w:noWrap/>
          </w:tcPr>
          <w:p>
            <w:pPr>
              <w:rPr>
                <w:rFonts w:hint="eastAsia" w:ascii="仿宋" w:hAnsi="仿宋" w:eastAsia="仿宋" w:cs="仿宋"/>
                <w:sz w:val="32"/>
                <w:szCs w:val="32"/>
              </w:rPr>
            </w:pPr>
          </w:p>
        </w:tc>
        <w:tc>
          <w:tcPr>
            <w:tcW w:w="4834" w:type="dxa"/>
            <w:tcBorders>
              <w:top w:val="single" w:color="000000" w:sz="4" w:space="0"/>
              <w:left w:val="single" w:color="000000" w:sz="4" w:space="0"/>
              <w:bottom w:val="single" w:color="000000" w:sz="4" w:space="0"/>
              <w:right w:val="single" w:color="000000" w:sz="4" w:space="0"/>
            </w:tcBorders>
            <w:noWrap/>
          </w:tcPr>
          <w:p>
            <w:pPr>
              <w:pStyle w:val="38"/>
              <w:spacing w:before="118" w:line="218" w:lineRule="auto"/>
              <w:ind w:left="851"/>
              <w:jc w:val="both"/>
              <w:rPr>
                <w:rFonts w:hint="eastAsia" w:ascii="仿宋" w:hAnsi="仿宋" w:eastAsia="仿宋" w:cs="仿宋"/>
                <w:sz w:val="32"/>
                <w:szCs w:val="32"/>
              </w:rPr>
            </w:pPr>
            <w:r>
              <w:rPr>
                <w:rFonts w:hint="eastAsia" w:ascii="仿宋" w:hAnsi="仿宋" w:eastAsia="仿宋" w:cs="仿宋"/>
                <w:spacing w:val="1"/>
                <w:sz w:val="32"/>
                <w:szCs w:val="32"/>
              </w:rPr>
              <w:t>面向第三产业就业人数</w:t>
            </w:r>
          </w:p>
        </w:tc>
        <w:tc>
          <w:tcPr>
            <w:tcW w:w="769" w:type="dxa"/>
            <w:tcBorders>
              <w:top w:val="single" w:color="000000" w:sz="4" w:space="0"/>
              <w:left w:val="single" w:color="000000" w:sz="4" w:space="0"/>
              <w:bottom w:val="single" w:color="000000" w:sz="4" w:space="0"/>
              <w:right w:val="single" w:color="000000" w:sz="4" w:space="0"/>
            </w:tcBorders>
            <w:noWrap/>
          </w:tcPr>
          <w:p>
            <w:pPr>
              <w:pStyle w:val="38"/>
              <w:spacing w:before="121" w:line="223" w:lineRule="auto"/>
              <w:ind w:left="256"/>
              <w:jc w:val="both"/>
              <w:rPr>
                <w:rFonts w:hint="eastAsia" w:ascii="仿宋" w:hAnsi="仿宋" w:eastAsia="仿宋" w:cs="仿宋"/>
                <w:sz w:val="32"/>
                <w:szCs w:val="32"/>
              </w:rPr>
            </w:pPr>
            <w:r>
              <w:rPr>
                <w:rFonts w:hint="eastAsia" w:ascii="仿宋" w:hAnsi="仿宋" w:eastAsia="仿宋" w:cs="仿宋"/>
                <w:sz w:val="32"/>
                <w:szCs w:val="32"/>
              </w:rPr>
              <w:t>人</w:t>
            </w:r>
          </w:p>
        </w:tc>
        <w:tc>
          <w:tcPr>
            <w:tcW w:w="103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430</w:t>
            </w:r>
          </w:p>
        </w:tc>
        <w:tc>
          <w:tcPr>
            <w:tcW w:w="104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344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804" w:type="dxa"/>
            <w:tcBorders>
              <w:top w:val="single" w:color="000000" w:sz="4" w:space="0"/>
              <w:left w:val="single" w:color="000000" w:sz="4" w:space="0"/>
              <w:bottom w:val="single" w:color="000000" w:sz="4" w:space="0"/>
              <w:right w:val="single" w:color="000000" w:sz="4" w:space="0"/>
            </w:tcBorders>
            <w:noWrap/>
          </w:tcPr>
          <w:p>
            <w:pPr>
              <w:pStyle w:val="38"/>
              <w:spacing w:before="180" w:line="182" w:lineRule="auto"/>
              <w:ind w:left="334"/>
              <w:jc w:val="both"/>
              <w:rPr>
                <w:rFonts w:hint="eastAsia" w:ascii="仿宋" w:hAnsi="仿宋" w:eastAsia="仿宋" w:cs="仿宋"/>
                <w:sz w:val="32"/>
                <w:szCs w:val="32"/>
              </w:rPr>
            </w:pPr>
            <w:r>
              <w:rPr>
                <w:rFonts w:hint="eastAsia" w:ascii="仿宋" w:hAnsi="仿宋" w:eastAsia="仿宋" w:cs="仿宋"/>
                <w:sz w:val="32"/>
                <w:szCs w:val="32"/>
              </w:rPr>
              <w:t>6</w:t>
            </w:r>
          </w:p>
        </w:tc>
        <w:tc>
          <w:tcPr>
            <w:tcW w:w="4834" w:type="dxa"/>
            <w:tcBorders>
              <w:top w:val="single" w:color="000000" w:sz="4" w:space="0"/>
              <w:left w:val="single" w:color="000000" w:sz="4" w:space="0"/>
              <w:bottom w:val="single" w:color="000000" w:sz="4" w:space="0"/>
              <w:right w:val="single" w:color="000000" w:sz="4" w:space="0"/>
            </w:tcBorders>
            <w:noWrap/>
          </w:tcPr>
          <w:p>
            <w:pPr>
              <w:pStyle w:val="38"/>
              <w:spacing w:before="119" w:line="218" w:lineRule="auto"/>
              <w:ind w:left="120"/>
              <w:jc w:val="both"/>
              <w:rPr>
                <w:rFonts w:hint="eastAsia" w:ascii="仿宋" w:hAnsi="仿宋" w:eastAsia="仿宋" w:cs="仿宋"/>
                <w:sz w:val="32"/>
                <w:szCs w:val="32"/>
              </w:rPr>
            </w:pPr>
            <w:r>
              <w:rPr>
                <w:rFonts w:hint="eastAsia" w:ascii="仿宋" w:hAnsi="仿宋" w:eastAsia="仿宋" w:cs="仿宋"/>
                <w:spacing w:val="2"/>
                <w:sz w:val="32"/>
                <w:szCs w:val="32"/>
              </w:rPr>
              <w:t>自主创业率</w:t>
            </w:r>
          </w:p>
        </w:tc>
        <w:tc>
          <w:tcPr>
            <w:tcW w:w="769" w:type="dxa"/>
            <w:tcBorders>
              <w:top w:val="single" w:color="000000" w:sz="4" w:space="0"/>
              <w:left w:val="single" w:color="000000" w:sz="4" w:space="0"/>
              <w:bottom w:val="single" w:color="000000" w:sz="4" w:space="0"/>
              <w:right w:val="single" w:color="000000" w:sz="4" w:space="0"/>
            </w:tcBorders>
            <w:noWrap/>
          </w:tcPr>
          <w:p>
            <w:pPr>
              <w:pStyle w:val="38"/>
              <w:spacing w:before="142" w:line="228" w:lineRule="auto"/>
              <w:ind w:left="317"/>
              <w:jc w:val="both"/>
              <w:rPr>
                <w:rFonts w:hint="eastAsia" w:ascii="仿宋" w:hAnsi="仿宋" w:eastAsia="仿宋" w:cs="仿宋"/>
                <w:sz w:val="32"/>
                <w:szCs w:val="32"/>
              </w:rPr>
            </w:pPr>
            <w:r>
              <w:rPr>
                <w:rFonts w:hint="eastAsia" w:ascii="仿宋" w:hAnsi="仿宋" w:eastAsia="仿宋" w:cs="仿宋"/>
                <w:sz w:val="32"/>
                <w:szCs w:val="32"/>
              </w:rPr>
              <w:t>%</w:t>
            </w:r>
          </w:p>
        </w:tc>
        <w:tc>
          <w:tcPr>
            <w:tcW w:w="103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w:t>
            </w:r>
          </w:p>
        </w:tc>
        <w:tc>
          <w:tcPr>
            <w:tcW w:w="104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804" w:type="dxa"/>
            <w:tcBorders>
              <w:top w:val="single" w:color="000000" w:sz="4" w:space="0"/>
              <w:left w:val="single" w:color="000000" w:sz="4" w:space="0"/>
              <w:bottom w:val="single" w:color="000000" w:sz="4" w:space="0"/>
              <w:right w:val="single" w:color="000000" w:sz="4" w:space="0"/>
            </w:tcBorders>
            <w:noWrap/>
          </w:tcPr>
          <w:p>
            <w:pPr>
              <w:pStyle w:val="38"/>
              <w:spacing w:before="182" w:line="182" w:lineRule="auto"/>
              <w:ind w:left="334"/>
              <w:jc w:val="both"/>
              <w:rPr>
                <w:rFonts w:hint="eastAsia" w:ascii="仿宋" w:hAnsi="仿宋" w:eastAsia="仿宋" w:cs="仿宋"/>
                <w:sz w:val="32"/>
                <w:szCs w:val="32"/>
              </w:rPr>
            </w:pPr>
            <w:r>
              <w:rPr>
                <w:rFonts w:hint="eastAsia" w:ascii="仿宋" w:hAnsi="仿宋" w:eastAsia="仿宋" w:cs="仿宋"/>
                <w:sz w:val="32"/>
                <w:szCs w:val="32"/>
              </w:rPr>
              <w:t>7</w:t>
            </w:r>
          </w:p>
        </w:tc>
        <w:tc>
          <w:tcPr>
            <w:tcW w:w="4834" w:type="dxa"/>
            <w:tcBorders>
              <w:top w:val="single" w:color="000000" w:sz="4" w:space="0"/>
              <w:left w:val="single" w:color="000000" w:sz="4" w:space="0"/>
              <w:bottom w:val="single" w:color="000000" w:sz="4" w:space="0"/>
              <w:right w:val="single" w:color="000000" w:sz="4" w:space="0"/>
            </w:tcBorders>
            <w:noWrap/>
          </w:tcPr>
          <w:p>
            <w:pPr>
              <w:pStyle w:val="38"/>
              <w:spacing w:before="118" w:line="218" w:lineRule="auto"/>
              <w:ind w:left="120"/>
              <w:jc w:val="both"/>
              <w:rPr>
                <w:rFonts w:hint="eastAsia" w:ascii="仿宋" w:hAnsi="仿宋" w:eastAsia="仿宋" w:cs="仿宋"/>
                <w:sz w:val="32"/>
                <w:szCs w:val="32"/>
              </w:rPr>
            </w:pPr>
            <w:r>
              <w:rPr>
                <w:rFonts w:hint="eastAsia" w:ascii="仿宋" w:hAnsi="仿宋" w:eastAsia="仿宋" w:cs="仿宋"/>
                <w:spacing w:val="2"/>
                <w:sz w:val="32"/>
                <w:szCs w:val="32"/>
              </w:rPr>
              <w:t>毕业三年晋升比例</w:t>
            </w:r>
          </w:p>
        </w:tc>
        <w:tc>
          <w:tcPr>
            <w:tcW w:w="769" w:type="dxa"/>
            <w:tcBorders>
              <w:top w:val="single" w:color="000000" w:sz="4" w:space="0"/>
              <w:left w:val="single" w:color="000000" w:sz="4" w:space="0"/>
              <w:bottom w:val="single" w:color="000000" w:sz="4" w:space="0"/>
              <w:right w:val="single" w:color="000000" w:sz="4" w:space="0"/>
            </w:tcBorders>
            <w:noWrap/>
          </w:tcPr>
          <w:p>
            <w:pPr>
              <w:pStyle w:val="38"/>
              <w:spacing w:before="143" w:line="240" w:lineRule="auto"/>
              <w:ind w:left="317"/>
              <w:jc w:val="both"/>
              <w:rPr>
                <w:rFonts w:hint="eastAsia" w:ascii="仿宋" w:hAnsi="仿宋" w:eastAsia="仿宋" w:cs="仿宋"/>
                <w:sz w:val="32"/>
                <w:szCs w:val="32"/>
              </w:rPr>
            </w:pPr>
            <w:r>
              <w:rPr>
                <w:rFonts w:hint="eastAsia" w:ascii="仿宋" w:hAnsi="仿宋" w:eastAsia="仿宋" w:cs="仿宋"/>
                <w:sz w:val="32"/>
                <w:szCs w:val="32"/>
              </w:rPr>
              <w:t>%</w:t>
            </w:r>
          </w:p>
        </w:tc>
        <w:tc>
          <w:tcPr>
            <w:tcW w:w="103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8</w:t>
            </w:r>
          </w:p>
        </w:tc>
        <w:tc>
          <w:tcPr>
            <w:tcW w:w="104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8.3</w:t>
            </w:r>
          </w:p>
        </w:tc>
      </w:tr>
    </w:tbl>
    <w:p>
      <w:pPr>
        <w:jc w:val="both"/>
        <w:rPr>
          <w:rFonts w:hint="eastAsia" w:ascii="仿宋" w:hAnsi="仿宋" w:eastAsia="仿宋" w:cs="仿宋"/>
          <w:sz w:val="32"/>
          <w:szCs w:val="32"/>
        </w:rPr>
      </w:pPr>
    </w:p>
    <w:p>
      <w:pPr>
        <w:pStyle w:val="2"/>
        <w:rPr>
          <w:rFonts w:hint="eastAsia"/>
          <w:lang w:val="en-US" w:eastAsia="zh-CN"/>
        </w:rPr>
      </w:pPr>
    </w:p>
    <w:p>
      <w:pPr>
        <w:pStyle w:val="3"/>
        <w:rPr>
          <w:rFonts w:hint="eastAsia"/>
          <w:lang w:val="en-US" w:eastAsia="zh-CN"/>
        </w:rPr>
      </w:pPr>
    </w:p>
    <w:p>
      <w:pPr>
        <w:rPr>
          <w:rFonts w:hint="eastAsia"/>
          <w:lang w:val="en-US" w:eastAsia="zh-CN"/>
        </w:rPr>
      </w:pPr>
    </w:p>
    <w:p>
      <w:pPr>
        <w:pStyle w:val="2"/>
        <w:rPr>
          <w:rFonts w:hint="eastAsia"/>
          <w:lang w:val="en-US" w:eastAsia="zh-CN"/>
        </w:rPr>
      </w:pPr>
    </w:p>
    <w:p>
      <w:pPr>
        <w:spacing w:before="12" w:line="221" w:lineRule="auto"/>
        <w:ind w:left="3394"/>
        <w:jc w:val="both"/>
        <w:rPr>
          <w:rFonts w:hint="eastAsia" w:ascii="仿宋" w:hAnsi="仿宋" w:eastAsia="仿宋" w:cs="仿宋"/>
          <w:sz w:val="32"/>
          <w:szCs w:val="32"/>
        </w:rPr>
      </w:pPr>
      <w:r>
        <w:rPr>
          <w:rFonts w:hint="eastAsia" w:ascii="仿宋" w:hAnsi="仿宋" w:eastAsia="仿宋" w:cs="仿宋"/>
          <w:b/>
          <w:bCs/>
          <w:spacing w:val="4"/>
          <w:sz w:val="32"/>
          <w:szCs w:val="32"/>
        </w:rPr>
        <w:t>表</w:t>
      </w:r>
      <w:r>
        <w:rPr>
          <w:rFonts w:hint="default" w:ascii="仿宋" w:hAnsi="仿宋" w:eastAsia="仿宋" w:cs="仿宋"/>
          <w:b/>
          <w:bCs/>
          <w:spacing w:val="4"/>
          <w:sz w:val="32"/>
          <w:szCs w:val="32"/>
          <w:lang w:val="en-US"/>
        </w:rPr>
        <w:t>2</w:t>
      </w:r>
      <w:r>
        <w:rPr>
          <w:rFonts w:hint="eastAsia" w:ascii="仿宋" w:hAnsi="仿宋" w:eastAsia="仿宋" w:cs="仿宋"/>
          <w:b/>
          <w:bCs/>
          <w:spacing w:val="4"/>
          <w:sz w:val="32"/>
          <w:szCs w:val="32"/>
        </w:rPr>
        <w:t>教学资源表</w:t>
      </w:r>
    </w:p>
    <w:p>
      <w:pPr>
        <w:spacing w:line="96" w:lineRule="exact"/>
        <w:jc w:val="both"/>
        <w:rPr>
          <w:rFonts w:hint="eastAsia" w:ascii="仿宋" w:hAnsi="仿宋" w:eastAsia="仿宋" w:cs="仿宋"/>
          <w:sz w:val="32"/>
          <w:szCs w:val="32"/>
        </w:rPr>
      </w:pPr>
    </w:p>
    <w:tbl>
      <w:tblPr>
        <w:tblStyle w:val="25"/>
        <w:tblW w:w="8489" w:type="dxa"/>
        <w:tblInd w:w="2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
        <w:gridCol w:w="700"/>
        <w:gridCol w:w="15"/>
        <w:gridCol w:w="4809"/>
        <w:gridCol w:w="33"/>
        <w:gridCol w:w="929"/>
        <w:gridCol w:w="29"/>
        <w:gridCol w:w="946"/>
        <w:gridCol w:w="994"/>
        <w:gridCol w:w="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 w:type="dxa"/>
          <w:trHeight w:val="403" w:hRule="atLeast"/>
        </w:trPr>
        <w:tc>
          <w:tcPr>
            <w:tcW w:w="734" w:type="dxa"/>
            <w:gridSpan w:val="2"/>
            <w:tcBorders>
              <w:top w:val="single" w:color="000000" w:sz="4" w:space="0"/>
              <w:left w:val="single" w:color="000000" w:sz="4" w:space="0"/>
              <w:bottom w:val="single" w:color="000000" w:sz="4" w:space="0"/>
              <w:right w:val="single" w:color="000000" w:sz="4" w:space="0"/>
            </w:tcBorders>
            <w:noWrap/>
          </w:tcPr>
          <w:p>
            <w:pPr>
              <w:pStyle w:val="38"/>
              <w:spacing w:before="82" w:line="221" w:lineRule="auto"/>
              <w:ind w:left="118"/>
              <w:jc w:val="both"/>
              <w:rPr>
                <w:rFonts w:hint="eastAsia" w:ascii="仿宋" w:hAnsi="仿宋" w:eastAsia="仿宋" w:cs="仿宋"/>
                <w:sz w:val="32"/>
                <w:szCs w:val="32"/>
              </w:rPr>
            </w:pPr>
            <w:r>
              <w:rPr>
                <w:rFonts w:hint="eastAsia" w:ascii="仿宋" w:hAnsi="仿宋" w:eastAsia="仿宋" w:cs="仿宋"/>
                <w:b/>
                <w:bCs/>
                <w:spacing w:val="-5"/>
                <w:sz w:val="32"/>
                <w:szCs w:val="32"/>
              </w:rPr>
              <w:t>序号</w:t>
            </w:r>
          </w:p>
        </w:tc>
        <w:tc>
          <w:tcPr>
            <w:tcW w:w="4824" w:type="dxa"/>
            <w:gridSpan w:val="2"/>
            <w:tcBorders>
              <w:top w:val="single" w:color="000000" w:sz="4" w:space="0"/>
              <w:left w:val="single" w:color="000000" w:sz="4" w:space="0"/>
              <w:bottom w:val="single" w:color="000000" w:sz="4" w:space="0"/>
              <w:right w:val="single" w:color="000000" w:sz="4" w:space="0"/>
            </w:tcBorders>
            <w:noWrap/>
          </w:tcPr>
          <w:p>
            <w:pPr>
              <w:pStyle w:val="38"/>
              <w:spacing w:before="82" w:line="221" w:lineRule="auto"/>
              <w:ind w:left="2164"/>
              <w:jc w:val="both"/>
              <w:rPr>
                <w:rFonts w:hint="eastAsia" w:ascii="仿宋" w:hAnsi="仿宋" w:eastAsia="仿宋" w:cs="仿宋"/>
                <w:sz w:val="32"/>
                <w:szCs w:val="32"/>
              </w:rPr>
            </w:pPr>
            <w:r>
              <w:rPr>
                <w:rFonts w:hint="eastAsia" w:ascii="仿宋" w:hAnsi="仿宋" w:eastAsia="仿宋" w:cs="仿宋"/>
                <w:b/>
                <w:bCs/>
                <w:spacing w:val="-6"/>
                <w:sz w:val="32"/>
                <w:szCs w:val="32"/>
              </w:rPr>
              <w:t>指标</w:t>
            </w:r>
          </w:p>
        </w:tc>
        <w:tc>
          <w:tcPr>
            <w:tcW w:w="962" w:type="dxa"/>
            <w:gridSpan w:val="2"/>
            <w:tcBorders>
              <w:top w:val="single" w:color="000000" w:sz="4" w:space="0"/>
              <w:left w:val="single" w:color="000000" w:sz="4" w:space="0"/>
              <w:bottom w:val="single" w:color="000000" w:sz="4" w:space="0"/>
              <w:right w:val="single" w:color="000000" w:sz="4" w:space="0"/>
            </w:tcBorders>
            <w:noWrap/>
          </w:tcPr>
          <w:p>
            <w:pPr>
              <w:pStyle w:val="38"/>
              <w:spacing w:before="82" w:line="221" w:lineRule="auto"/>
              <w:ind w:left="190"/>
              <w:jc w:val="both"/>
              <w:rPr>
                <w:rFonts w:hint="eastAsia" w:ascii="仿宋" w:hAnsi="仿宋" w:eastAsia="仿宋" w:cs="仿宋"/>
                <w:sz w:val="32"/>
                <w:szCs w:val="32"/>
              </w:rPr>
            </w:pPr>
            <w:r>
              <w:rPr>
                <w:rFonts w:hint="eastAsia" w:ascii="仿宋" w:hAnsi="仿宋" w:eastAsia="仿宋" w:cs="仿宋"/>
                <w:b/>
                <w:bCs/>
                <w:spacing w:val="-6"/>
                <w:sz w:val="32"/>
                <w:szCs w:val="32"/>
              </w:rPr>
              <w:t>单位</w:t>
            </w:r>
          </w:p>
        </w:tc>
        <w:tc>
          <w:tcPr>
            <w:tcW w:w="975" w:type="dxa"/>
            <w:gridSpan w:val="2"/>
            <w:tcBorders>
              <w:top w:val="single" w:color="000000" w:sz="4" w:space="0"/>
              <w:left w:val="single" w:color="000000" w:sz="4" w:space="0"/>
              <w:bottom w:val="single" w:color="000000" w:sz="4" w:space="0"/>
              <w:right w:val="single" w:color="000000" w:sz="4" w:space="0"/>
            </w:tcBorders>
            <w:noWrap/>
          </w:tcPr>
          <w:p>
            <w:pPr>
              <w:pStyle w:val="38"/>
              <w:spacing w:before="81" w:line="218" w:lineRule="auto"/>
              <w:ind w:left="161"/>
              <w:jc w:val="both"/>
              <w:rPr>
                <w:rFonts w:hint="eastAsia" w:ascii="仿宋" w:hAnsi="仿宋" w:eastAsia="仿宋" w:cs="仿宋"/>
                <w:sz w:val="32"/>
                <w:szCs w:val="32"/>
              </w:rPr>
            </w:pPr>
            <w:r>
              <w:rPr>
                <w:rFonts w:hint="eastAsia" w:ascii="仿宋" w:hAnsi="仿宋" w:eastAsia="仿宋" w:cs="仿宋"/>
                <w:b/>
                <w:bCs/>
                <w:spacing w:val="-5"/>
                <w:sz w:val="32"/>
                <w:szCs w:val="32"/>
              </w:rPr>
              <w:t>2023年</w:t>
            </w:r>
          </w:p>
        </w:tc>
        <w:tc>
          <w:tcPr>
            <w:tcW w:w="994" w:type="dxa"/>
            <w:tcBorders>
              <w:top w:val="single" w:color="000000" w:sz="4" w:space="0"/>
              <w:left w:val="single" w:color="000000" w:sz="4" w:space="0"/>
              <w:bottom w:val="single" w:color="000000" w:sz="4" w:space="0"/>
              <w:right w:val="single" w:color="000000" w:sz="4" w:space="0"/>
            </w:tcBorders>
            <w:noWrap/>
          </w:tcPr>
          <w:p>
            <w:pPr>
              <w:pStyle w:val="38"/>
              <w:spacing w:before="81" w:line="218" w:lineRule="auto"/>
              <w:ind w:left="113"/>
              <w:jc w:val="both"/>
              <w:rPr>
                <w:rFonts w:hint="eastAsia" w:ascii="仿宋" w:hAnsi="仿宋" w:eastAsia="仿宋" w:cs="仿宋"/>
                <w:sz w:val="32"/>
                <w:szCs w:val="32"/>
              </w:rPr>
            </w:pPr>
            <w:r>
              <w:rPr>
                <w:rFonts w:hint="eastAsia" w:ascii="仿宋" w:hAnsi="仿宋" w:eastAsia="仿宋" w:cs="仿宋"/>
                <w:b/>
                <w:bCs/>
                <w:spacing w:val="-5"/>
                <w:sz w:val="32"/>
                <w:szCs w:val="32"/>
              </w:rPr>
              <w:t>2024年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 w:type="dxa"/>
          <w:trHeight w:val="449" w:hRule="atLeast"/>
        </w:trPr>
        <w:tc>
          <w:tcPr>
            <w:tcW w:w="734" w:type="dxa"/>
            <w:gridSpan w:val="2"/>
            <w:tcBorders>
              <w:top w:val="single" w:color="000000" w:sz="4" w:space="0"/>
              <w:left w:val="single" w:color="000000" w:sz="4" w:space="0"/>
              <w:bottom w:val="single" w:color="000000" w:sz="4" w:space="0"/>
              <w:right w:val="single" w:color="000000" w:sz="4" w:space="0"/>
            </w:tcBorders>
            <w:noWrap/>
          </w:tcPr>
          <w:p>
            <w:pPr>
              <w:pStyle w:val="38"/>
              <w:spacing w:before="172" w:line="185" w:lineRule="auto"/>
              <w:ind w:left="295"/>
              <w:jc w:val="both"/>
              <w:rPr>
                <w:rFonts w:hint="eastAsia" w:ascii="仿宋" w:hAnsi="仿宋" w:eastAsia="仿宋" w:cs="仿宋"/>
                <w:sz w:val="32"/>
                <w:szCs w:val="32"/>
              </w:rPr>
            </w:pPr>
            <w:r>
              <w:rPr>
                <w:rFonts w:hint="eastAsia" w:ascii="仿宋" w:hAnsi="仿宋" w:eastAsia="仿宋" w:cs="仿宋"/>
                <w:sz w:val="32"/>
                <w:szCs w:val="32"/>
              </w:rPr>
              <w:t>1</w:t>
            </w:r>
          </w:p>
        </w:tc>
        <w:tc>
          <w:tcPr>
            <w:tcW w:w="4824" w:type="dxa"/>
            <w:gridSpan w:val="2"/>
            <w:tcBorders>
              <w:top w:val="single" w:color="000000" w:sz="4" w:space="0"/>
              <w:left w:val="single" w:color="000000" w:sz="4" w:space="0"/>
              <w:bottom w:val="single" w:color="000000" w:sz="4" w:space="0"/>
              <w:right w:val="single" w:color="000000" w:sz="4" w:space="0"/>
            </w:tcBorders>
            <w:noWrap/>
          </w:tcPr>
          <w:p>
            <w:pPr>
              <w:pStyle w:val="38"/>
              <w:spacing w:before="112" w:line="218" w:lineRule="auto"/>
              <w:ind w:left="121"/>
              <w:jc w:val="both"/>
              <w:rPr>
                <w:rFonts w:hint="eastAsia" w:ascii="仿宋" w:hAnsi="仿宋" w:eastAsia="仿宋" w:cs="仿宋"/>
                <w:sz w:val="32"/>
                <w:szCs w:val="32"/>
              </w:rPr>
            </w:pPr>
            <w:r>
              <w:rPr>
                <w:rFonts w:hint="eastAsia" w:ascii="仿宋" w:hAnsi="仿宋" w:eastAsia="仿宋" w:cs="仿宋"/>
                <w:spacing w:val="2"/>
                <w:sz w:val="32"/>
                <w:szCs w:val="32"/>
              </w:rPr>
              <w:t>生师比*</w:t>
            </w:r>
          </w:p>
        </w:tc>
        <w:tc>
          <w:tcPr>
            <w:tcW w:w="962" w:type="dxa"/>
            <w:gridSpan w:val="2"/>
            <w:tcBorders>
              <w:top w:val="single" w:color="000000" w:sz="4" w:space="0"/>
              <w:left w:val="single" w:color="000000" w:sz="4" w:space="0"/>
              <w:bottom w:val="single" w:color="000000" w:sz="4" w:space="0"/>
              <w:right w:val="single" w:color="000000" w:sz="4" w:space="0"/>
            </w:tcBorders>
            <w:noWrap/>
          </w:tcPr>
          <w:p>
            <w:pPr>
              <w:pStyle w:val="38"/>
              <w:spacing w:before="295" w:line="143" w:lineRule="exact"/>
              <w:ind w:left="306"/>
              <w:jc w:val="both"/>
              <w:rPr>
                <w:rFonts w:hint="eastAsia" w:ascii="仿宋" w:hAnsi="仿宋" w:eastAsia="仿宋" w:cs="仿宋"/>
                <w:sz w:val="32"/>
                <w:szCs w:val="32"/>
              </w:rPr>
            </w:pPr>
            <w:r>
              <w:rPr>
                <w:rFonts w:hint="eastAsia" w:ascii="仿宋" w:hAnsi="仿宋" w:eastAsia="仿宋" w:cs="仿宋"/>
                <w:spacing w:val="-1"/>
                <w:sz w:val="32"/>
                <w:szCs w:val="32"/>
              </w:rPr>
              <w:t>—一</w:t>
            </w:r>
          </w:p>
        </w:tc>
        <w:tc>
          <w:tcPr>
            <w:tcW w:w="975" w:type="dxa"/>
            <w:gridSpan w:val="2"/>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eastAsia="zh-CN"/>
              </w:rPr>
            </w:pPr>
            <w:r>
              <w:rPr>
                <w:rFonts w:hint="default" w:hAnsi="仿宋" w:cs="仿宋"/>
                <w:sz w:val="32"/>
                <w:szCs w:val="32"/>
                <w:lang w:val="en-US"/>
              </w:rPr>
              <w:t>19</w:t>
            </w:r>
            <w:r>
              <w:rPr>
                <w:rFonts w:hint="eastAsia" w:hAnsi="仿宋" w:cs="仿宋"/>
                <w:sz w:val="32"/>
                <w:szCs w:val="32"/>
                <w:lang w:val="en-US" w:eastAsia="zh-CN"/>
              </w:rPr>
              <w:t>：</w:t>
            </w:r>
            <w:r>
              <w:rPr>
                <w:rFonts w:hint="default" w:hAnsi="仿宋" w:cs="仿宋"/>
                <w:sz w:val="32"/>
                <w:szCs w:val="32"/>
                <w:lang w:val="en-US" w:eastAsia="zh-CN"/>
              </w:rPr>
              <w:t>1</w:t>
            </w:r>
          </w:p>
        </w:tc>
        <w:tc>
          <w:tcPr>
            <w:tcW w:w="99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eastAsia="zh-CN"/>
              </w:rPr>
            </w:pPr>
            <w:r>
              <w:rPr>
                <w:rFonts w:hint="default" w:hAnsi="仿宋" w:cs="仿宋"/>
                <w:sz w:val="32"/>
                <w:szCs w:val="32"/>
                <w:lang w:val="en-US"/>
              </w:rPr>
              <w:t>19</w:t>
            </w:r>
            <w:r>
              <w:rPr>
                <w:rFonts w:hint="eastAsia" w:hAnsi="仿宋" w:cs="仿宋"/>
                <w:sz w:val="32"/>
                <w:szCs w:val="32"/>
                <w:lang w:val="en-US" w:eastAsia="zh-CN"/>
              </w:rPr>
              <w:t>：</w:t>
            </w:r>
            <w:r>
              <w:rPr>
                <w:rFonts w:hint="default" w:hAnsi="仿宋" w:cs="仿宋"/>
                <w:sz w:val="32"/>
                <w:szCs w:val="32"/>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 w:type="dxa"/>
          <w:trHeight w:val="458" w:hRule="atLeast"/>
        </w:trPr>
        <w:tc>
          <w:tcPr>
            <w:tcW w:w="734" w:type="dxa"/>
            <w:gridSpan w:val="2"/>
            <w:vMerge w:val="restart"/>
            <w:tcBorders>
              <w:top w:val="single" w:color="000000" w:sz="4" w:space="0"/>
              <w:left w:val="single" w:color="000000" w:sz="4" w:space="0"/>
              <w:bottom w:val="nil"/>
              <w:right w:val="single" w:color="000000" w:sz="4" w:space="0"/>
            </w:tcBorders>
            <w:noWrap/>
          </w:tcPr>
          <w:p>
            <w:pPr>
              <w:spacing w:line="324" w:lineRule="auto"/>
              <w:jc w:val="both"/>
              <w:rPr>
                <w:rFonts w:hint="eastAsia" w:ascii="仿宋" w:hAnsi="仿宋" w:eastAsia="仿宋" w:cs="仿宋"/>
                <w:sz w:val="32"/>
                <w:szCs w:val="32"/>
              </w:rPr>
            </w:pPr>
          </w:p>
          <w:p>
            <w:pPr>
              <w:pStyle w:val="38"/>
              <w:spacing w:before="78" w:line="182" w:lineRule="auto"/>
              <w:ind w:left="295"/>
              <w:jc w:val="both"/>
              <w:rPr>
                <w:rFonts w:hint="eastAsia" w:ascii="仿宋" w:hAnsi="仿宋" w:eastAsia="仿宋" w:cs="仿宋"/>
                <w:sz w:val="32"/>
                <w:szCs w:val="32"/>
              </w:rPr>
            </w:pPr>
            <w:r>
              <w:rPr>
                <w:rFonts w:hint="eastAsia" w:ascii="仿宋" w:hAnsi="仿宋" w:eastAsia="仿宋" w:cs="仿宋"/>
                <w:sz w:val="32"/>
                <w:szCs w:val="32"/>
              </w:rPr>
              <w:t>2</w:t>
            </w:r>
          </w:p>
        </w:tc>
        <w:tc>
          <w:tcPr>
            <w:tcW w:w="4824" w:type="dxa"/>
            <w:gridSpan w:val="2"/>
            <w:tcBorders>
              <w:top w:val="single" w:color="000000" w:sz="4" w:space="0"/>
              <w:left w:val="single" w:color="000000" w:sz="4" w:space="0"/>
              <w:bottom w:val="single" w:color="000000" w:sz="4" w:space="0"/>
              <w:right w:val="single" w:color="000000" w:sz="4" w:space="0"/>
            </w:tcBorders>
            <w:noWrap/>
          </w:tcPr>
          <w:p>
            <w:pPr>
              <w:pStyle w:val="38"/>
              <w:spacing w:before="112" w:line="218" w:lineRule="auto"/>
              <w:ind w:left="1"/>
              <w:jc w:val="both"/>
              <w:rPr>
                <w:rFonts w:hint="eastAsia" w:ascii="仿宋" w:hAnsi="仿宋" w:eastAsia="仿宋" w:cs="仿宋"/>
                <w:sz w:val="32"/>
                <w:szCs w:val="32"/>
              </w:rPr>
            </w:pPr>
            <w:r>
              <w:rPr>
                <w:rFonts w:hint="eastAsia" w:ascii="仿宋" w:hAnsi="仿宋" w:eastAsia="仿宋" w:cs="仿宋"/>
                <w:spacing w:val="15"/>
                <w:sz w:val="32"/>
                <w:szCs w:val="32"/>
              </w:rPr>
              <w:t>“双师型”教师比例</w:t>
            </w:r>
          </w:p>
        </w:tc>
        <w:tc>
          <w:tcPr>
            <w:tcW w:w="962" w:type="dxa"/>
            <w:gridSpan w:val="2"/>
            <w:tcBorders>
              <w:top w:val="single" w:color="000000" w:sz="4" w:space="0"/>
              <w:left w:val="single" w:color="000000" w:sz="4" w:space="0"/>
              <w:bottom w:val="single" w:color="000000" w:sz="4" w:space="0"/>
              <w:right w:val="single" w:color="000000" w:sz="4" w:space="0"/>
            </w:tcBorders>
            <w:noWrap/>
          </w:tcPr>
          <w:p>
            <w:pPr>
              <w:pStyle w:val="38"/>
              <w:spacing w:before="137" w:line="240" w:lineRule="auto"/>
              <w:ind w:left="366"/>
              <w:jc w:val="both"/>
              <w:rPr>
                <w:rFonts w:hint="eastAsia" w:ascii="仿宋" w:hAnsi="仿宋" w:eastAsia="仿宋" w:cs="仿宋"/>
                <w:sz w:val="32"/>
                <w:szCs w:val="32"/>
              </w:rPr>
            </w:pPr>
            <w:r>
              <w:rPr>
                <w:rFonts w:hint="eastAsia" w:ascii="仿宋" w:hAnsi="仿宋" w:eastAsia="仿宋" w:cs="仿宋"/>
                <w:sz w:val="32"/>
                <w:szCs w:val="32"/>
              </w:rPr>
              <w:t>%</w:t>
            </w:r>
          </w:p>
        </w:tc>
        <w:tc>
          <w:tcPr>
            <w:tcW w:w="975" w:type="dxa"/>
            <w:gridSpan w:val="2"/>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19.6</w:t>
            </w:r>
          </w:p>
        </w:tc>
        <w:tc>
          <w:tcPr>
            <w:tcW w:w="99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 w:type="dxa"/>
          <w:trHeight w:val="438" w:hRule="atLeast"/>
        </w:trPr>
        <w:tc>
          <w:tcPr>
            <w:tcW w:w="734" w:type="dxa"/>
            <w:gridSpan w:val="2"/>
            <w:vMerge w:val="continue"/>
            <w:tcBorders>
              <w:top w:val="nil"/>
              <w:left w:val="single" w:color="000000" w:sz="4" w:space="0"/>
              <w:bottom w:val="single" w:color="000000" w:sz="4" w:space="0"/>
              <w:right w:val="single" w:color="000000" w:sz="4" w:space="0"/>
            </w:tcBorders>
            <w:noWrap/>
          </w:tcPr>
          <w:p>
            <w:pPr>
              <w:rPr>
                <w:rFonts w:hint="eastAsia" w:ascii="仿宋" w:hAnsi="仿宋" w:eastAsia="仿宋" w:cs="仿宋"/>
                <w:sz w:val="32"/>
                <w:szCs w:val="32"/>
              </w:rPr>
            </w:pPr>
          </w:p>
        </w:tc>
        <w:tc>
          <w:tcPr>
            <w:tcW w:w="4824" w:type="dxa"/>
            <w:gridSpan w:val="2"/>
            <w:tcBorders>
              <w:top w:val="single" w:color="000000" w:sz="4" w:space="0"/>
              <w:left w:val="single" w:color="000000" w:sz="4" w:space="0"/>
              <w:bottom w:val="single" w:color="000000" w:sz="4" w:space="0"/>
              <w:right w:val="single" w:color="000000" w:sz="4" w:space="0"/>
            </w:tcBorders>
            <w:noWrap/>
          </w:tcPr>
          <w:p>
            <w:pPr>
              <w:pStyle w:val="38"/>
              <w:spacing w:before="104" w:line="218" w:lineRule="auto"/>
              <w:ind w:left="121"/>
              <w:jc w:val="both"/>
              <w:rPr>
                <w:rFonts w:hint="eastAsia" w:ascii="仿宋" w:hAnsi="仿宋" w:eastAsia="仿宋" w:cs="仿宋"/>
                <w:sz w:val="32"/>
                <w:szCs w:val="32"/>
              </w:rPr>
            </w:pPr>
            <w:r>
              <w:rPr>
                <w:rFonts w:hint="eastAsia" w:ascii="仿宋" w:hAnsi="仿宋" w:eastAsia="仿宋" w:cs="仿宋"/>
                <w:spacing w:val="1"/>
                <w:sz w:val="32"/>
                <w:szCs w:val="32"/>
              </w:rPr>
              <w:t>其中：高级“双师型”教师比例</w:t>
            </w:r>
          </w:p>
        </w:tc>
        <w:tc>
          <w:tcPr>
            <w:tcW w:w="962" w:type="dxa"/>
            <w:gridSpan w:val="2"/>
            <w:tcBorders>
              <w:top w:val="single" w:color="000000" w:sz="4" w:space="0"/>
              <w:left w:val="single" w:color="000000" w:sz="4" w:space="0"/>
              <w:bottom w:val="single" w:color="000000" w:sz="4" w:space="0"/>
              <w:right w:val="single" w:color="000000" w:sz="4" w:space="0"/>
            </w:tcBorders>
            <w:noWrap/>
          </w:tcPr>
          <w:p>
            <w:pPr>
              <w:pStyle w:val="38"/>
              <w:spacing w:before="128" w:line="230" w:lineRule="auto"/>
              <w:ind w:left="366"/>
              <w:jc w:val="both"/>
              <w:rPr>
                <w:rFonts w:hint="eastAsia" w:ascii="仿宋" w:hAnsi="仿宋" w:eastAsia="仿宋" w:cs="仿宋"/>
                <w:sz w:val="32"/>
                <w:szCs w:val="32"/>
              </w:rPr>
            </w:pPr>
            <w:r>
              <w:rPr>
                <w:rFonts w:hint="eastAsia" w:ascii="仿宋" w:hAnsi="仿宋" w:eastAsia="仿宋" w:cs="仿宋"/>
                <w:sz w:val="32"/>
                <w:szCs w:val="32"/>
              </w:rPr>
              <w:t>%</w:t>
            </w:r>
          </w:p>
        </w:tc>
        <w:tc>
          <w:tcPr>
            <w:tcW w:w="975" w:type="dxa"/>
            <w:gridSpan w:val="2"/>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14.5</w:t>
            </w:r>
          </w:p>
        </w:tc>
        <w:tc>
          <w:tcPr>
            <w:tcW w:w="99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 w:type="dxa"/>
          <w:trHeight w:val="449" w:hRule="atLeast"/>
        </w:trPr>
        <w:tc>
          <w:tcPr>
            <w:tcW w:w="734" w:type="dxa"/>
            <w:gridSpan w:val="2"/>
            <w:tcBorders>
              <w:top w:val="single" w:color="000000" w:sz="4" w:space="0"/>
              <w:left w:val="single" w:color="000000" w:sz="4" w:space="0"/>
              <w:bottom w:val="single" w:color="000000" w:sz="4" w:space="0"/>
              <w:right w:val="single" w:color="000000" w:sz="4" w:space="0"/>
            </w:tcBorders>
            <w:noWrap/>
          </w:tcPr>
          <w:p>
            <w:pPr>
              <w:pStyle w:val="38"/>
              <w:spacing w:before="178" w:line="182" w:lineRule="auto"/>
              <w:ind w:left="295"/>
              <w:jc w:val="both"/>
              <w:rPr>
                <w:rFonts w:hint="eastAsia" w:ascii="仿宋" w:hAnsi="仿宋" w:eastAsia="仿宋" w:cs="仿宋"/>
                <w:sz w:val="32"/>
                <w:szCs w:val="32"/>
              </w:rPr>
            </w:pPr>
            <w:r>
              <w:rPr>
                <w:rFonts w:hint="eastAsia" w:ascii="仿宋" w:hAnsi="仿宋" w:eastAsia="仿宋" w:cs="仿宋"/>
                <w:sz w:val="32"/>
                <w:szCs w:val="32"/>
              </w:rPr>
              <w:t>3</w:t>
            </w:r>
          </w:p>
        </w:tc>
        <w:tc>
          <w:tcPr>
            <w:tcW w:w="4824" w:type="dxa"/>
            <w:gridSpan w:val="2"/>
            <w:tcBorders>
              <w:top w:val="single" w:color="000000" w:sz="4" w:space="0"/>
              <w:left w:val="single" w:color="000000" w:sz="4" w:space="0"/>
              <w:bottom w:val="single" w:color="000000" w:sz="4" w:space="0"/>
              <w:right w:val="single" w:color="000000" w:sz="4" w:space="0"/>
            </w:tcBorders>
            <w:noWrap/>
          </w:tcPr>
          <w:p>
            <w:pPr>
              <w:pStyle w:val="38"/>
              <w:spacing w:before="116" w:line="218" w:lineRule="auto"/>
              <w:ind w:left="121"/>
              <w:jc w:val="both"/>
              <w:rPr>
                <w:rFonts w:hint="eastAsia" w:ascii="仿宋" w:hAnsi="仿宋" w:eastAsia="仿宋" w:cs="仿宋"/>
                <w:sz w:val="32"/>
                <w:szCs w:val="32"/>
              </w:rPr>
            </w:pPr>
            <w:r>
              <w:rPr>
                <w:rFonts w:hint="eastAsia" w:ascii="仿宋" w:hAnsi="仿宋" w:eastAsia="仿宋" w:cs="仿宋"/>
                <w:sz w:val="32"/>
                <w:szCs w:val="32"/>
              </w:rPr>
              <w:t>高级专业技术职务专任教师比例*</w:t>
            </w:r>
          </w:p>
        </w:tc>
        <w:tc>
          <w:tcPr>
            <w:tcW w:w="962" w:type="dxa"/>
            <w:gridSpan w:val="2"/>
            <w:tcBorders>
              <w:top w:val="single" w:color="000000" w:sz="4" w:space="0"/>
              <w:left w:val="single" w:color="000000" w:sz="4" w:space="0"/>
              <w:bottom w:val="single" w:color="000000" w:sz="4" w:space="0"/>
              <w:right w:val="single" w:color="000000" w:sz="4" w:space="0"/>
            </w:tcBorders>
            <w:noWrap/>
          </w:tcPr>
          <w:p>
            <w:pPr>
              <w:pStyle w:val="38"/>
              <w:spacing w:before="141" w:line="228" w:lineRule="auto"/>
              <w:ind w:left="366"/>
              <w:jc w:val="both"/>
              <w:rPr>
                <w:rFonts w:hint="eastAsia" w:ascii="仿宋" w:hAnsi="仿宋" w:eastAsia="仿宋" w:cs="仿宋"/>
                <w:sz w:val="32"/>
                <w:szCs w:val="32"/>
              </w:rPr>
            </w:pPr>
            <w:r>
              <w:rPr>
                <w:rFonts w:hint="eastAsia" w:ascii="仿宋" w:hAnsi="仿宋" w:eastAsia="仿宋" w:cs="仿宋"/>
                <w:sz w:val="32"/>
                <w:szCs w:val="32"/>
              </w:rPr>
              <w:t>%</w:t>
            </w:r>
          </w:p>
        </w:tc>
        <w:tc>
          <w:tcPr>
            <w:tcW w:w="975" w:type="dxa"/>
            <w:gridSpan w:val="2"/>
            <w:tcBorders>
              <w:top w:val="single" w:color="000000" w:sz="4" w:space="0"/>
              <w:left w:val="single" w:color="000000" w:sz="4" w:space="0"/>
              <w:bottom w:val="single" w:color="000000" w:sz="4" w:space="0"/>
              <w:right w:val="single" w:color="000000" w:sz="4" w:space="0"/>
            </w:tcBorders>
            <w:noWrap/>
          </w:tcPr>
          <w:p>
            <w:pPr>
              <w:jc w:val="both"/>
              <w:rPr>
                <w:rFonts w:hint="eastAsia" w:ascii="仿宋" w:hAnsi="仿宋" w:eastAsia="仿宋" w:cs="仿宋"/>
                <w:sz w:val="32"/>
                <w:szCs w:val="32"/>
              </w:rPr>
            </w:pPr>
            <w:r>
              <w:rPr>
                <w:rFonts w:hint="default" w:hAnsi="仿宋" w:cs="仿宋"/>
                <w:sz w:val="32"/>
                <w:szCs w:val="32"/>
                <w:lang w:val="en-US"/>
              </w:rPr>
              <w:t>20.98</w:t>
            </w:r>
          </w:p>
        </w:tc>
        <w:tc>
          <w:tcPr>
            <w:tcW w:w="99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 w:type="dxa"/>
          <w:trHeight w:val="448" w:hRule="atLeast"/>
        </w:trPr>
        <w:tc>
          <w:tcPr>
            <w:tcW w:w="734" w:type="dxa"/>
            <w:gridSpan w:val="2"/>
            <w:vMerge w:val="restart"/>
            <w:tcBorders>
              <w:top w:val="single" w:color="000000" w:sz="4" w:space="0"/>
              <w:left w:val="single" w:color="000000" w:sz="4" w:space="0"/>
              <w:bottom w:val="nil"/>
              <w:right w:val="single" w:color="000000" w:sz="4" w:space="0"/>
            </w:tcBorders>
            <w:noWrap/>
          </w:tcPr>
          <w:p>
            <w:pPr>
              <w:spacing w:line="329" w:lineRule="auto"/>
              <w:jc w:val="both"/>
              <w:rPr>
                <w:rFonts w:hint="eastAsia" w:ascii="仿宋" w:hAnsi="仿宋" w:eastAsia="仿宋" w:cs="仿宋"/>
                <w:sz w:val="32"/>
                <w:szCs w:val="32"/>
              </w:rPr>
            </w:pPr>
          </w:p>
          <w:p>
            <w:pPr>
              <w:pStyle w:val="38"/>
              <w:spacing w:before="78" w:line="182" w:lineRule="auto"/>
              <w:ind w:left="295"/>
              <w:jc w:val="both"/>
              <w:rPr>
                <w:rFonts w:hint="eastAsia" w:ascii="仿宋" w:hAnsi="仿宋" w:eastAsia="仿宋" w:cs="仿宋"/>
                <w:sz w:val="32"/>
                <w:szCs w:val="32"/>
              </w:rPr>
            </w:pPr>
            <w:r>
              <w:rPr>
                <w:rFonts w:hint="eastAsia" w:ascii="仿宋" w:hAnsi="仿宋" w:eastAsia="仿宋" w:cs="仿宋"/>
                <w:sz w:val="32"/>
                <w:szCs w:val="32"/>
              </w:rPr>
              <w:t>4</w:t>
            </w:r>
          </w:p>
        </w:tc>
        <w:tc>
          <w:tcPr>
            <w:tcW w:w="4824" w:type="dxa"/>
            <w:gridSpan w:val="2"/>
            <w:tcBorders>
              <w:top w:val="single" w:color="000000" w:sz="4" w:space="0"/>
              <w:left w:val="single" w:color="000000" w:sz="4" w:space="0"/>
              <w:bottom w:val="single" w:color="000000" w:sz="4" w:space="0"/>
              <w:right w:val="single" w:color="000000" w:sz="4" w:space="0"/>
            </w:tcBorders>
            <w:noWrap/>
          </w:tcPr>
          <w:p>
            <w:pPr>
              <w:pStyle w:val="38"/>
              <w:spacing w:before="117" w:line="218" w:lineRule="auto"/>
              <w:ind w:left="121"/>
              <w:jc w:val="both"/>
              <w:rPr>
                <w:rFonts w:hint="eastAsia" w:ascii="仿宋" w:hAnsi="仿宋" w:eastAsia="仿宋" w:cs="仿宋"/>
                <w:sz w:val="32"/>
                <w:szCs w:val="32"/>
              </w:rPr>
            </w:pPr>
            <w:r>
              <w:rPr>
                <w:rFonts w:hint="eastAsia" w:ascii="仿宋" w:hAnsi="仿宋" w:eastAsia="仿宋" w:cs="仿宋"/>
                <w:spacing w:val="-2"/>
                <w:sz w:val="32"/>
                <w:szCs w:val="32"/>
              </w:rPr>
              <w:t>专业群数量*</w:t>
            </w:r>
          </w:p>
        </w:tc>
        <w:tc>
          <w:tcPr>
            <w:tcW w:w="962" w:type="dxa"/>
            <w:gridSpan w:val="2"/>
            <w:tcBorders>
              <w:top w:val="single" w:color="000000" w:sz="4" w:space="0"/>
              <w:left w:val="single" w:color="000000" w:sz="4" w:space="0"/>
              <w:bottom w:val="single" w:color="000000" w:sz="4" w:space="0"/>
              <w:right w:val="single" w:color="000000" w:sz="4" w:space="0"/>
            </w:tcBorders>
            <w:noWrap/>
          </w:tcPr>
          <w:p>
            <w:pPr>
              <w:pStyle w:val="38"/>
              <w:spacing w:before="117" w:line="218" w:lineRule="auto"/>
              <w:ind w:left="306"/>
              <w:jc w:val="both"/>
              <w:rPr>
                <w:rFonts w:hint="eastAsia" w:ascii="仿宋" w:hAnsi="仿宋" w:eastAsia="仿宋" w:cs="仿宋"/>
                <w:sz w:val="32"/>
                <w:szCs w:val="32"/>
              </w:rPr>
            </w:pPr>
            <w:r>
              <w:rPr>
                <w:rFonts w:hint="eastAsia" w:ascii="仿宋" w:hAnsi="仿宋" w:eastAsia="仿宋" w:cs="仿宋"/>
                <w:sz w:val="32"/>
                <w:szCs w:val="32"/>
              </w:rPr>
              <w:t>个</w:t>
            </w:r>
          </w:p>
        </w:tc>
        <w:tc>
          <w:tcPr>
            <w:tcW w:w="975" w:type="dxa"/>
            <w:gridSpan w:val="2"/>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9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 w:type="dxa"/>
          <w:trHeight w:val="454" w:hRule="atLeast"/>
        </w:trPr>
        <w:tc>
          <w:tcPr>
            <w:tcW w:w="734" w:type="dxa"/>
            <w:gridSpan w:val="2"/>
            <w:vMerge w:val="continue"/>
            <w:tcBorders>
              <w:top w:val="nil"/>
              <w:left w:val="single" w:color="000000" w:sz="4" w:space="0"/>
              <w:bottom w:val="single" w:color="000000" w:sz="4" w:space="0"/>
              <w:right w:val="single" w:color="000000" w:sz="4" w:space="0"/>
            </w:tcBorders>
            <w:noWrap/>
          </w:tcPr>
          <w:p>
            <w:pPr>
              <w:rPr>
                <w:rFonts w:hint="eastAsia" w:ascii="仿宋" w:hAnsi="仿宋" w:eastAsia="仿宋" w:cs="仿宋"/>
                <w:sz w:val="32"/>
                <w:szCs w:val="32"/>
              </w:rPr>
            </w:pPr>
          </w:p>
        </w:tc>
        <w:tc>
          <w:tcPr>
            <w:tcW w:w="4824" w:type="dxa"/>
            <w:gridSpan w:val="2"/>
            <w:tcBorders>
              <w:top w:val="single" w:color="000000" w:sz="4" w:space="0"/>
              <w:left w:val="single" w:color="000000" w:sz="4" w:space="0"/>
              <w:bottom w:val="single" w:color="000000" w:sz="4" w:space="0"/>
              <w:right w:val="single" w:color="000000" w:sz="4" w:space="0"/>
            </w:tcBorders>
            <w:noWrap/>
          </w:tcPr>
          <w:p>
            <w:pPr>
              <w:pStyle w:val="38"/>
              <w:spacing w:before="120" w:line="218" w:lineRule="auto"/>
              <w:ind w:left="121"/>
              <w:jc w:val="both"/>
              <w:rPr>
                <w:rFonts w:hint="eastAsia" w:ascii="仿宋" w:hAnsi="仿宋" w:eastAsia="仿宋" w:cs="仿宋"/>
                <w:sz w:val="32"/>
                <w:szCs w:val="32"/>
              </w:rPr>
            </w:pPr>
            <w:r>
              <w:rPr>
                <w:rFonts w:hint="eastAsia" w:ascii="仿宋" w:hAnsi="仿宋" w:eastAsia="仿宋" w:cs="仿宋"/>
                <w:spacing w:val="-2"/>
                <w:sz w:val="32"/>
                <w:szCs w:val="32"/>
              </w:rPr>
              <w:t>专业数量*</w:t>
            </w:r>
          </w:p>
        </w:tc>
        <w:tc>
          <w:tcPr>
            <w:tcW w:w="962" w:type="dxa"/>
            <w:gridSpan w:val="2"/>
            <w:tcBorders>
              <w:top w:val="single" w:color="000000" w:sz="4" w:space="0"/>
              <w:left w:val="single" w:color="000000" w:sz="4" w:space="0"/>
              <w:bottom w:val="single" w:color="000000" w:sz="4" w:space="0"/>
              <w:right w:val="single" w:color="000000" w:sz="4" w:space="0"/>
            </w:tcBorders>
            <w:noWrap/>
          </w:tcPr>
          <w:p>
            <w:pPr>
              <w:pStyle w:val="38"/>
              <w:spacing w:before="120" w:line="218" w:lineRule="auto"/>
              <w:ind w:left="306"/>
              <w:jc w:val="both"/>
              <w:rPr>
                <w:rFonts w:hint="eastAsia" w:ascii="仿宋" w:hAnsi="仿宋" w:eastAsia="仿宋" w:cs="仿宋"/>
                <w:sz w:val="32"/>
                <w:szCs w:val="32"/>
              </w:rPr>
            </w:pPr>
            <w:r>
              <w:rPr>
                <w:rFonts w:hint="eastAsia" w:ascii="仿宋" w:hAnsi="仿宋" w:eastAsia="仿宋" w:cs="仿宋"/>
                <w:sz w:val="32"/>
                <w:szCs w:val="32"/>
              </w:rPr>
              <w:t>个</w:t>
            </w:r>
          </w:p>
        </w:tc>
        <w:tc>
          <w:tcPr>
            <w:tcW w:w="975" w:type="dxa"/>
            <w:gridSpan w:val="2"/>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10</w:t>
            </w:r>
          </w:p>
        </w:tc>
        <w:tc>
          <w:tcPr>
            <w:tcW w:w="99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34" w:type="dxa"/>
          <w:trHeight w:val="510" w:hRule="exact"/>
        </w:trPr>
        <w:tc>
          <w:tcPr>
            <w:tcW w:w="8457" w:type="dxa"/>
            <w:gridSpan w:val="9"/>
            <w:tcBorders>
              <w:top w:val="single" w:color="000000" w:sz="4" w:space="0"/>
              <w:left w:val="single" w:color="000000" w:sz="4" w:space="0"/>
              <w:bottom w:val="single" w:color="000000" w:sz="4" w:space="0"/>
              <w:right w:val="single" w:color="000000" w:sz="4" w:space="0"/>
            </w:tcBorders>
            <w:noWrap/>
          </w:tcPr>
          <w:p>
            <w:pPr>
              <w:pStyle w:val="35"/>
              <w:keepNext w:val="0"/>
              <w:keepLines w:val="0"/>
              <w:pageBreakBefore w:val="0"/>
              <w:widowControl w:val="0"/>
              <w:kinsoku/>
              <w:wordWrap/>
              <w:overflowPunct/>
              <w:topLinePunct w:val="0"/>
              <w:autoSpaceDE w:val="0"/>
              <w:autoSpaceDN w:val="0"/>
              <w:bidi w:val="0"/>
              <w:adjustRightInd/>
              <w:snapToGrid/>
              <w:spacing w:before="0" w:line="560" w:lineRule="exact"/>
              <w:ind w:left="0" w:right="0"/>
              <w:jc w:val="both"/>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说明</w:t>
            </w:r>
            <w:r>
              <w:rPr>
                <w:rFonts w:hint="eastAsia" w:ascii="仿宋" w:hAnsi="仿宋" w:eastAsia="仿宋" w:cs="仿宋"/>
                <w:b/>
                <w:bCs/>
                <w:sz w:val="32"/>
                <w:szCs w:val="32"/>
                <w:lang w:val="en-US" w:eastAsia="zh-CN"/>
              </w:rPr>
              <w:t>:请逐一列出学校专业群及核心专业,并选择对接产业链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34" w:type="dxa"/>
          <w:trHeight w:val="510" w:hRule="exact"/>
        </w:trPr>
        <w:tc>
          <w:tcPr>
            <w:tcW w:w="715" w:type="dxa"/>
            <w:gridSpan w:val="2"/>
            <w:tcBorders>
              <w:top w:val="single" w:color="000000" w:sz="4" w:space="0"/>
              <w:left w:val="single" w:color="000000" w:sz="4" w:space="0"/>
              <w:bottom w:val="single" w:color="000000" w:sz="4" w:space="0"/>
              <w:right w:val="single" w:color="000000" w:sz="4" w:space="0"/>
            </w:tcBorders>
            <w:noWrap/>
          </w:tcPr>
          <w:p>
            <w:pPr>
              <w:pStyle w:val="35"/>
              <w:keepNext w:val="0"/>
              <w:keepLines w:val="0"/>
              <w:pageBreakBefore w:val="0"/>
              <w:widowControl w:val="0"/>
              <w:kinsoku/>
              <w:wordWrap/>
              <w:overflowPunct/>
              <w:topLinePunct w:val="0"/>
              <w:autoSpaceDE w:val="0"/>
              <w:autoSpaceDN w:val="0"/>
              <w:bidi w:val="0"/>
              <w:adjustRightInd/>
              <w:snapToGrid/>
              <w:spacing w:before="0" w:line="560" w:lineRule="exact"/>
              <w:ind w:left="0" w:right="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1</w:t>
            </w:r>
          </w:p>
        </w:tc>
        <w:tc>
          <w:tcPr>
            <w:tcW w:w="4842" w:type="dxa"/>
            <w:gridSpan w:val="2"/>
            <w:tcBorders>
              <w:top w:val="single" w:color="000000" w:sz="4" w:space="0"/>
              <w:left w:val="single" w:color="000000" w:sz="4" w:space="0"/>
              <w:bottom w:val="single" w:color="000000" w:sz="4" w:space="0"/>
              <w:right w:val="single" w:color="000000" w:sz="4" w:space="0"/>
            </w:tcBorders>
            <w:noWrap/>
          </w:tcPr>
          <w:p>
            <w:pPr>
              <w:pStyle w:val="35"/>
              <w:keepNext w:val="0"/>
              <w:keepLines w:val="0"/>
              <w:pageBreakBefore w:val="0"/>
              <w:widowControl w:val="0"/>
              <w:kinsoku/>
              <w:wordWrap/>
              <w:overflowPunct/>
              <w:topLinePunct w:val="0"/>
              <w:autoSpaceDE w:val="0"/>
              <w:autoSpaceDN w:val="0"/>
              <w:bidi w:val="0"/>
              <w:adjustRightInd/>
              <w:snapToGrid/>
              <w:spacing w:before="0" w:line="560" w:lineRule="exact"/>
              <w:ind w:left="0" w:right="0"/>
              <w:jc w:val="both"/>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专业群名称</w:t>
            </w:r>
          </w:p>
        </w:tc>
        <w:tc>
          <w:tcPr>
            <w:tcW w:w="958" w:type="dxa"/>
            <w:gridSpan w:val="2"/>
            <w:tcBorders>
              <w:top w:val="single" w:color="000000" w:sz="4" w:space="0"/>
              <w:left w:val="single" w:color="000000" w:sz="4" w:space="0"/>
              <w:bottom w:val="single" w:color="000000" w:sz="4" w:space="0"/>
              <w:right w:val="single" w:color="000000" w:sz="4" w:space="0"/>
            </w:tcBorders>
            <w:noWrap/>
          </w:tcPr>
          <w:p>
            <w:pPr>
              <w:pStyle w:val="35"/>
              <w:keepNext w:val="0"/>
              <w:keepLines w:val="0"/>
              <w:pageBreakBefore w:val="0"/>
              <w:widowControl w:val="0"/>
              <w:kinsoku/>
              <w:wordWrap/>
              <w:overflowPunct/>
              <w:topLinePunct w:val="0"/>
              <w:autoSpaceDE w:val="0"/>
              <w:autoSpaceDN w:val="0"/>
              <w:bidi w:val="0"/>
              <w:adjustRightInd/>
              <w:snapToGrid/>
              <w:spacing w:before="0" w:line="560" w:lineRule="exact"/>
              <w:ind w:left="0" w:right="0"/>
              <w:jc w:val="both"/>
              <w:textAlignment w:val="auto"/>
              <w:rPr>
                <w:rFonts w:hint="eastAsia" w:ascii="仿宋" w:hAnsi="仿宋" w:eastAsia="仿宋" w:cs="仿宋"/>
                <w:b/>
                <w:bCs/>
                <w:sz w:val="32"/>
                <w:szCs w:val="32"/>
                <w:lang w:eastAsia="zh-CN"/>
              </w:rPr>
            </w:pPr>
            <w:r>
              <w:rPr>
                <w:rFonts w:hint="eastAsia" w:ascii="仿宋" w:hAnsi="仿宋" w:eastAsia="仿宋" w:cs="仿宋"/>
                <w:b/>
                <w:bCs/>
                <w:w w:val="100"/>
                <w:sz w:val="32"/>
                <w:szCs w:val="32"/>
                <w:lang w:eastAsia="zh-CN"/>
              </w:rPr>
              <w:t>核心专业</w:t>
            </w:r>
          </w:p>
        </w:tc>
        <w:tc>
          <w:tcPr>
            <w:tcW w:w="1942" w:type="dxa"/>
            <w:gridSpan w:val="3"/>
            <w:tcBorders>
              <w:top w:val="single" w:color="000000" w:sz="4" w:space="0"/>
              <w:left w:val="single" w:color="000000" w:sz="4" w:space="0"/>
              <w:bottom w:val="single" w:color="000000" w:sz="4" w:space="0"/>
              <w:right w:val="single" w:color="000000" w:sz="4" w:space="0"/>
            </w:tcBorders>
            <w:noWrap/>
          </w:tcPr>
          <w:p>
            <w:pPr>
              <w:pStyle w:val="35"/>
              <w:keepNext w:val="0"/>
              <w:keepLines w:val="0"/>
              <w:pageBreakBefore w:val="0"/>
              <w:widowControl w:val="0"/>
              <w:kinsoku/>
              <w:wordWrap/>
              <w:overflowPunct/>
              <w:topLinePunct w:val="0"/>
              <w:autoSpaceDE w:val="0"/>
              <w:autoSpaceDN w:val="0"/>
              <w:bidi w:val="0"/>
              <w:adjustRightInd/>
              <w:snapToGrid/>
              <w:spacing w:before="0" w:line="560" w:lineRule="exact"/>
              <w:ind w:left="0" w:right="0"/>
              <w:jc w:val="both"/>
              <w:textAlignment w:val="auto"/>
              <w:rPr>
                <w:rFonts w:hint="eastAsia" w:ascii="仿宋" w:hAnsi="仿宋" w:eastAsia="仿宋" w:cs="仿宋"/>
                <w:sz w:val="32"/>
                <w:szCs w:val="32"/>
                <w:lang w:eastAsia="zh-CN"/>
              </w:rPr>
            </w:pPr>
            <w:r>
              <w:rPr>
                <w:rFonts w:hint="eastAsia" w:ascii="仿宋" w:hAnsi="仿宋" w:eastAsia="仿宋" w:cs="仿宋"/>
                <w:b/>
                <w:bCs/>
                <w:sz w:val="32"/>
                <w:szCs w:val="32"/>
                <w:lang w:eastAsia="zh-CN"/>
              </w:rPr>
              <w:t>选择对接产业链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34" w:type="dxa"/>
          <w:trHeight w:val="510" w:hRule="exact"/>
        </w:trPr>
        <w:tc>
          <w:tcPr>
            <w:tcW w:w="715" w:type="dxa"/>
            <w:gridSpan w:val="2"/>
            <w:tcBorders>
              <w:top w:val="single" w:color="000000" w:sz="4" w:space="0"/>
              <w:left w:val="single" w:color="000000" w:sz="4" w:space="0"/>
              <w:bottom w:val="single" w:color="000000" w:sz="4" w:space="0"/>
              <w:right w:val="single" w:color="000000" w:sz="4" w:space="0"/>
            </w:tcBorders>
            <w:noWrap/>
          </w:tcPr>
          <w:p>
            <w:pPr>
              <w:pStyle w:val="35"/>
              <w:keepNext w:val="0"/>
              <w:keepLines w:val="0"/>
              <w:pageBreakBefore w:val="0"/>
              <w:widowControl w:val="0"/>
              <w:kinsoku/>
              <w:wordWrap/>
              <w:overflowPunct/>
              <w:topLinePunct w:val="0"/>
              <w:autoSpaceDE w:val="0"/>
              <w:autoSpaceDN w:val="0"/>
              <w:bidi w:val="0"/>
              <w:adjustRightInd/>
              <w:snapToGrid/>
              <w:spacing w:before="0" w:line="560" w:lineRule="exact"/>
              <w:ind w:left="0" w:right="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w:t>
            </w:r>
          </w:p>
        </w:tc>
        <w:tc>
          <w:tcPr>
            <w:tcW w:w="4842" w:type="dxa"/>
            <w:gridSpan w:val="2"/>
            <w:tcBorders>
              <w:top w:val="single" w:color="000000" w:sz="4" w:space="0"/>
              <w:left w:val="single" w:color="000000" w:sz="4" w:space="0"/>
              <w:bottom w:val="single" w:color="000000" w:sz="4" w:space="0"/>
              <w:right w:val="single" w:color="000000" w:sz="4" w:space="0"/>
            </w:tcBorders>
            <w:noWrap/>
          </w:tcPr>
          <w:p>
            <w:pPr>
              <w:pStyle w:val="35"/>
              <w:keepNext w:val="0"/>
              <w:keepLines w:val="0"/>
              <w:pageBreakBefore w:val="0"/>
              <w:widowControl w:val="0"/>
              <w:kinsoku/>
              <w:wordWrap/>
              <w:overflowPunct/>
              <w:topLinePunct w:val="0"/>
              <w:autoSpaceDE w:val="0"/>
              <w:autoSpaceDN w:val="0"/>
              <w:bidi w:val="0"/>
              <w:adjustRightInd/>
              <w:snapToGrid/>
              <w:spacing w:before="0" w:line="560" w:lineRule="exact"/>
              <w:ind w:left="0" w:right="0"/>
              <w:jc w:val="both"/>
              <w:textAlignment w:val="auto"/>
              <w:rPr>
                <w:rFonts w:hint="eastAsia" w:ascii="仿宋" w:hAnsi="仿宋" w:eastAsia="仿宋" w:cs="仿宋"/>
                <w:sz w:val="32"/>
                <w:szCs w:val="32"/>
              </w:rPr>
            </w:pPr>
          </w:p>
        </w:tc>
        <w:tc>
          <w:tcPr>
            <w:tcW w:w="958" w:type="dxa"/>
            <w:gridSpan w:val="2"/>
            <w:tcBorders>
              <w:top w:val="single" w:color="000000" w:sz="4" w:space="0"/>
              <w:left w:val="single" w:color="000000" w:sz="4" w:space="0"/>
              <w:bottom w:val="single" w:color="000000" w:sz="4" w:space="0"/>
              <w:right w:val="single" w:color="000000" w:sz="4" w:space="0"/>
            </w:tcBorders>
            <w:noWrap/>
          </w:tcPr>
          <w:p>
            <w:pPr>
              <w:pStyle w:val="35"/>
              <w:keepNext w:val="0"/>
              <w:keepLines w:val="0"/>
              <w:pageBreakBefore w:val="0"/>
              <w:widowControl w:val="0"/>
              <w:kinsoku/>
              <w:wordWrap/>
              <w:overflowPunct/>
              <w:topLinePunct w:val="0"/>
              <w:autoSpaceDE w:val="0"/>
              <w:autoSpaceDN w:val="0"/>
              <w:bidi w:val="0"/>
              <w:adjustRightInd/>
              <w:snapToGrid/>
              <w:spacing w:before="0" w:line="560" w:lineRule="exact"/>
              <w:ind w:left="0" w:right="0"/>
              <w:jc w:val="both"/>
              <w:textAlignment w:val="auto"/>
              <w:rPr>
                <w:rFonts w:hint="eastAsia" w:ascii="仿宋" w:hAnsi="仿宋" w:eastAsia="仿宋" w:cs="仿宋"/>
                <w:sz w:val="32"/>
                <w:szCs w:val="32"/>
              </w:rPr>
            </w:pPr>
          </w:p>
        </w:tc>
        <w:tc>
          <w:tcPr>
            <w:tcW w:w="1942" w:type="dxa"/>
            <w:gridSpan w:val="3"/>
            <w:tcBorders>
              <w:top w:val="single" w:color="000000" w:sz="4" w:space="0"/>
              <w:left w:val="single" w:color="000000" w:sz="4" w:space="0"/>
              <w:bottom w:val="single" w:color="000000" w:sz="4" w:space="0"/>
              <w:right w:val="single" w:color="000000" w:sz="4" w:space="0"/>
            </w:tcBorders>
            <w:noWrap/>
          </w:tcPr>
          <w:p>
            <w:pPr>
              <w:pStyle w:val="35"/>
              <w:keepNext w:val="0"/>
              <w:keepLines w:val="0"/>
              <w:pageBreakBefore w:val="0"/>
              <w:widowControl w:val="0"/>
              <w:kinsoku/>
              <w:wordWrap/>
              <w:overflowPunct/>
              <w:topLinePunct w:val="0"/>
              <w:autoSpaceDE w:val="0"/>
              <w:autoSpaceDN w:val="0"/>
              <w:bidi w:val="0"/>
              <w:adjustRightInd/>
              <w:snapToGrid/>
              <w:spacing w:before="0" w:line="560" w:lineRule="exact"/>
              <w:ind w:left="0" w:right="0"/>
              <w:jc w:val="both"/>
              <w:textAlignment w:val="auto"/>
              <w:rPr>
                <w:rFonts w:hint="eastAsia" w:ascii="仿宋" w:hAnsi="仿宋" w:eastAsia="仿宋" w:cs="仿宋"/>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34" w:type="dxa"/>
          <w:trHeight w:val="510" w:hRule="exact"/>
        </w:trPr>
        <w:tc>
          <w:tcPr>
            <w:tcW w:w="715" w:type="dxa"/>
            <w:gridSpan w:val="2"/>
            <w:tcBorders>
              <w:top w:val="single" w:color="000000" w:sz="4" w:space="0"/>
              <w:left w:val="single" w:color="000000" w:sz="4" w:space="0"/>
              <w:bottom w:val="single" w:color="000000" w:sz="4" w:space="0"/>
              <w:right w:val="single" w:color="000000" w:sz="4" w:space="0"/>
            </w:tcBorders>
            <w:noWrap/>
          </w:tcPr>
          <w:p>
            <w:pPr>
              <w:pStyle w:val="35"/>
              <w:keepNext w:val="0"/>
              <w:keepLines w:val="0"/>
              <w:pageBreakBefore w:val="0"/>
              <w:widowControl w:val="0"/>
              <w:kinsoku/>
              <w:wordWrap/>
              <w:overflowPunct/>
              <w:topLinePunct w:val="0"/>
              <w:autoSpaceDE w:val="0"/>
              <w:autoSpaceDN w:val="0"/>
              <w:bidi w:val="0"/>
              <w:adjustRightInd/>
              <w:snapToGrid/>
              <w:spacing w:before="0" w:line="560" w:lineRule="exact"/>
              <w:ind w:left="0" w:right="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w:t>
            </w:r>
          </w:p>
        </w:tc>
        <w:tc>
          <w:tcPr>
            <w:tcW w:w="4842" w:type="dxa"/>
            <w:gridSpan w:val="2"/>
            <w:tcBorders>
              <w:top w:val="single" w:color="000000" w:sz="4" w:space="0"/>
              <w:left w:val="single" w:color="000000" w:sz="4" w:space="0"/>
              <w:bottom w:val="single" w:color="000000" w:sz="4" w:space="0"/>
              <w:right w:val="single" w:color="000000" w:sz="4" w:space="0"/>
            </w:tcBorders>
            <w:noWrap/>
          </w:tcPr>
          <w:p>
            <w:pPr>
              <w:pStyle w:val="35"/>
              <w:keepNext w:val="0"/>
              <w:keepLines w:val="0"/>
              <w:pageBreakBefore w:val="0"/>
              <w:widowControl w:val="0"/>
              <w:kinsoku/>
              <w:wordWrap/>
              <w:overflowPunct/>
              <w:topLinePunct w:val="0"/>
              <w:autoSpaceDE w:val="0"/>
              <w:autoSpaceDN w:val="0"/>
              <w:bidi w:val="0"/>
              <w:adjustRightInd/>
              <w:snapToGrid/>
              <w:spacing w:before="0" w:line="560" w:lineRule="exact"/>
              <w:ind w:left="0" w:right="0"/>
              <w:jc w:val="both"/>
              <w:textAlignment w:val="auto"/>
              <w:rPr>
                <w:rFonts w:hint="eastAsia" w:ascii="仿宋" w:hAnsi="仿宋" w:eastAsia="仿宋" w:cs="仿宋"/>
                <w:sz w:val="32"/>
                <w:szCs w:val="32"/>
              </w:rPr>
            </w:pPr>
            <w:r>
              <w:rPr>
                <w:rFonts w:hint="eastAsia" w:ascii="仿宋" w:hAnsi="仿宋" w:eastAsia="仿宋" w:cs="仿宋"/>
                <w:sz w:val="32"/>
                <w:szCs w:val="32"/>
              </w:rPr>
              <w:t>开发并被国 （境）外采用的课程数</w:t>
            </w:r>
          </w:p>
        </w:tc>
        <w:tc>
          <w:tcPr>
            <w:tcW w:w="958" w:type="dxa"/>
            <w:gridSpan w:val="2"/>
            <w:tcBorders>
              <w:top w:val="single" w:color="000000" w:sz="4" w:space="0"/>
              <w:left w:val="single" w:color="000000" w:sz="4" w:space="0"/>
              <w:bottom w:val="single" w:color="000000" w:sz="4" w:space="0"/>
              <w:right w:val="single" w:color="000000" w:sz="4" w:space="0"/>
            </w:tcBorders>
            <w:noWrap/>
          </w:tcPr>
          <w:p>
            <w:pPr>
              <w:pStyle w:val="35"/>
              <w:keepNext w:val="0"/>
              <w:keepLines w:val="0"/>
              <w:pageBreakBefore w:val="0"/>
              <w:widowControl w:val="0"/>
              <w:kinsoku/>
              <w:wordWrap/>
              <w:overflowPunct/>
              <w:topLinePunct w:val="0"/>
              <w:autoSpaceDE w:val="0"/>
              <w:autoSpaceDN w:val="0"/>
              <w:bidi w:val="0"/>
              <w:adjustRightInd/>
              <w:snapToGrid/>
              <w:spacing w:before="0" w:line="560" w:lineRule="exact"/>
              <w:ind w:left="0" w:right="0"/>
              <w:jc w:val="both"/>
              <w:textAlignment w:val="auto"/>
              <w:rPr>
                <w:rFonts w:hint="eastAsia" w:ascii="仿宋" w:hAnsi="仿宋" w:eastAsia="仿宋" w:cs="仿宋"/>
                <w:w w:val="100"/>
                <w:sz w:val="32"/>
                <w:szCs w:val="32"/>
              </w:rPr>
            </w:pPr>
          </w:p>
        </w:tc>
        <w:tc>
          <w:tcPr>
            <w:tcW w:w="1942" w:type="dxa"/>
            <w:gridSpan w:val="3"/>
            <w:tcBorders>
              <w:top w:val="single" w:color="000000" w:sz="4" w:space="0"/>
              <w:left w:val="single" w:color="000000" w:sz="4" w:space="0"/>
              <w:bottom w:val="single" w:color="000000" w:sz="4" w:space="0"/>
              <w:right w:val="single" w:color="000000" w:sz="4" w:space="0"/>
            </w:tcBorders>
            <w:noWrap/>
          </w:tcPr>
          <w:p>
            <w:pPr>
              <w:pStyle w:val="35"/>
              <w:keepNext w:val="0"/>
              <w:keepLines w:val="0"/>
              <w:pageBreakBefore w:val="0"/>
              <w:widowControl w:val="0"/>
              <w:kinsoku/>
              <w:wordWrap/>
              <w:overflowPunct/>
              <w:topLinePunct w:val="0"/>
              <w:autoSpaceDE w:val="0"/>
              <w:autoSpaceDN w:val="0"/>
              <w:bidi w:val="0"/>
              <w:adjustRightInd/>
              <w:snapToGrid/>
              <w:spacing w:before="0" w:line="560" w:lineRule="exact"/>
              <w:ind w:left="0" w:right="0"/>
              <w:jc w:val="both"/>
              <w:textAlignment w:val="auto"/>
              <w:rPr>
                <w:rFonts w:hint="eastAsia" w:ascii="仿宋" w:hAnsi="仿宋" w:eastAsia="仿宋" w:cs="仿宋"/>
                <w:sz w:val="32"/>
                <w:szCs w:val="32"/>
              </w:rPr>
            </w:pPr>
          </w:p>
        </w:tc>
      </w:tr>
    </w:tbl>
    <w:p>
      <w:pPr>
        <w:jc w:val="both"/>
        <w:rPr>
          <w:rFonts w:hint="eastAsia" w:ascii="仿宋" w:hAnsi="仿宋" w:eastAsia="仿宋" w:cs="仿宋"/>
          <w:sz w:val="32"/>
          <w:szCs w:val="32"/>
        </w:rPr>
      </w:pPr>
    </w:p>
    <w:tbl>
      <w:tblPr>
        <w:tblStyle w:val="25"/>
        <w:tblpPr w:leftFromText="180" w:rightFromText="180" w:vertAnchor="text" w:horzAnchor="page" w:tblpX="1691" w:tblpY="25"/>
        <w:tblOverlap w:val="never"/>
        <w:tblW w:w="846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4"/>
        <w:gridCol w:w="4814"/>
        <w:gridCol w:w="859"/>
        <w:gridCol w:w="1078"/>
        <w:gridCol w:w="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734" w:type="dxa"/>
            <w:tcBorders>
              <w:top w:val="single" w:color="000000" w:sz="4" w:space="0"/>
              <w:left w:val="single" w:color="000000" w:sz="4" w:space="0"/>
              <w:bottom w:val="single" w:color="000000" w:sz="4" w:space="0"/>
              <w:right w:val="single" w:color="000000" w:sz="4" w:space="0"/>
            </w:tcBorders>
            <w:noWrap/>
          </w:tcPr>
          <w:p>
            <w:pPr>
              <w:pStyle w:val="38"/>
              <w:spacing w:before="72" w:line="221" w:lineRule="auto"/>
              <w:ind w:left="128"/>
              <w:jc w:val="both"/>
              <w:rPr>
                <w:rFonts w:hint="eastAsia" w:ascii="仿宋" w:hAnsi="仿宋" w:eastAsia="仿宋" w:cs="仿宋"/>
                <w:sz w:val="32"/>
                <w:szCs w:val="32"/>
              </w:rPr>
            </w:pPr>
            <w:r>
              <w:rPr>
                <w:rFonts w:hint="eastAsia" w:ascii="仿宋" w:hAnsi="仿宋" w:eastAsia="仿宋" w:cs="仿宋"/>
                <w:b/>
                <w:bCs/>
                <w:spacing w:val="-5"/>
                <w:sz w:val="32"/>
                <w:szCs w:val="32"/>
              </w:rPr>
              <w:t>序号</w:t>
            </w: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72" w:line="221" w:lineRule="auto"/>
              <w:ind w:left="2154"/>
              <w:jc w:val="both"/>
              <w:rPr>
                <w:rFonts w:hint="eastAsia" w:ascii="仿宋" w:hAnsi="仿宋" w:eastAsia="仿宋" w:cs="仿宋"/>
                <w:sz w:val="32"/>
                <w:szCs w:val="32"/>
              </w:rPr>
            </w:pPr>
            <w:r>
              <w:rPr>
                <w:rFonts w:hint="eastAsia" w:ascii="仿宋" w:hAnsi="仿宋" w:eastAsia="仿宋" w:cs="仿宋"/>
                <w:b/>
                <w:bCs/>
                <w:spacing w:val="-6"/>
                <w:sz w:val="32"/>
                <w:szCs w:val="32"/>
              </w:rPr>
              <w:t>指标</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72" w:line="221" w:lineRule="auto"/>
              <w:ind w:left="190"/>
              <w:jc w:val="both"/>
              <w:rPr>
                <w:rFonts w:hint="eastAsia" w:ascii="仿宋" w:hAnsi="仿宋" w:eastAsia="仿宋" w:cs="仿宋"/>
                <w:sz w:val="32"/>
                <w:szCs w:val="32"/>
              </w:rPr>
            </w:pPr>
            <w:r>
              <w:rPr>
                <w:rFonts w:hint="eastAsia" w:ascii="仿宋" w:hAnsi="仿宋" w:eastAsia="仿宋" w:cs="仿宋"/>
                <w:b/>
                <w:bCs/>
                <w:spacing w:val="-6"/>
                <w:sz w:val="32"/>
                <w:szCs w:val="32"/>
              </w:rPr>
              <w:t>单位</w:t>
            </w:r>
          </w:p>
        </w:tc>
        <w:tc>
          <w:tcPr>
            <w:tcW w:w="1078" w:type="dxa"/>
            <w:tcBorders>
              <w:top w:val="single" w:color="000000" w:sz="4" w:space="0"/>
              <w:left w:val="single" w:color="000000" w:sz="4" w:space="0"/>
              <w:bottom w:val="single" w:color="000000" w:sz="4" w:space="0"/>
              <w:right w:val="single" w:color="000000" w:sz="4" w:space="0"/>
            </w:tcBorders>
            <w:noWrap/>
          </w:tcPr>
          <w:p>
            <w:pPr>
              <w:pStyle w:val="38"/>
              <w:spacing w:before="71" w:line="218" w:lineRule="auto"/>
              <w:ind w:left="151"/>
              <w:jc w:val="both"/>
              <w:rPr>
                <w:rFonts w:hint="eastAsia" w:ascii="仿宋" w:hAnsi="仿宋" w:eastAsia="仿宋" w:cs="仿宋"/>
                <w:sz w:val="32"/>
                <w:szCs w:val="32"/>
              </w:rPr>
            </w:pPr>
            <w:r>
              <w:rPr>
                <w:rFonts w:hint="eastAsia" w:ascii="仿宋" w:hAnsi="仿宋" w:eastAsia="仿宋" w:cs="仿宋"/>
                <w:b/>
                <w:bCs/>
                <w:spacing w:val="-5"/>
                <w:sz w:val="32"/>
                <w:szCs w:val="32"/>
              </w:rPr>
              <w:t>2023年</w:t>
            </w:r>
          </w:p>
        </w:tc>
        <w:tc>
          <w:tcPr>
            <w:tcW w:w="984" w:type="dxa"/>
            <w:tcBorders>
              <w:top w:val="single" w:color="000000" w:sz="4" w:space="0"/>
              <w:left w:val="single" w:color="000000" w:sz="4" w:space="0"/>
              <w:bottom w:val="single" w:color="000000" w:sz="4" w:space="0"/>
              <w:right w:val="single" w:color="000000" w:sz="4" w:space="0"/>
            </w:tcBorders>
            <w:noWrap/>
          </w:tcPr>
          <w:p>
            <w:pPr>
              <w:pStyle w:val="38"/>
              <w:spacing w:before="71" w:line="218" w:lineRule="auto"/>
              <w:ind w:left="123"/>
              <w:jc w:val="both"/>
              <w:rPr>
                <w:rFonts w:hint="eastAsia" w:ascii="仿宋" w:hAnsi="仿宋" w:eastAsia="仿宋" w:cs="仿宋"/>
                <w:sz w:val="32"/>
                <w:szCs w:val="32"/>
              </w:rPr>
            </w:pPr>
            <w:r>
              <w:rPr>
                <w:rFonts w:hint="eastAsia" w:ascii="仿宋" w:hAnsi="仿宋" w:eastAsia="仿宋" w:cs="仿宋"/>
                <w:b/>
                <w:bCs/>
                <w:spacing w:val="-5"/>
                <w:sz w:val="32"/>
                <w:szCs w:val="32"/>
              </w:rPr>
              <w:t>2024年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34" w:type="dxa"/>
            <w:vMerge w:val="restart"/>
            <w:tcBorders>
              <w:top w:val="single" w:color="000000" w:sz="4" w:space="0"/>
              <w:left w:val="single" w:color="000000" w:sz="4" w:space="0"/>
              <w:bottom w:val="nil"/>
              <w:right w:val="single" w:color="000000" w:sz="4" w:space="0"/>
            </w:tcBorders>
            <w:noWrap/>
          </w:tcPr>
          <w:p>
            <w:pPr>
              <w:spacing w:line="247" w:lineRule="auto"/>
              <w:jc w:val="both"/>
              <w:rPr>
                <w:rFonts w:hint="eastAsia" w:ascii="仿宋" w:hAnsi="仿宋" w:eastAsia="仿宋" w:cs="仿宋"/>
                <w:sz w:val="32"/>
                <w:szCs w:val="32"/>
              </w:rPr>
            </w:pPr>
          </w:p>
          <w:p>
            <w:pPr>
              <w:spacing w:line="247" w:lineRule="auto"/>
              <w:jc w:val="both"/>
              <w:rPr>
                <w:rFonts w:hint="eastAsia" w:ascii="仿宋" w:hAnsi="仿宋" w:eastAsia="仿宋" w:cs="仿宋"/>
                <w:sz w:val="32"/>
                <w:szCs w:val="32"/>
              </w:rPr>
            </w:pPr>
          </w:p>
          <w:p>
            <w:pPr>
              <w:spacing w:line="247" w:lineRule="auto"/>
              <w:jc w:val="both"/>
              <w:rPr>
                <w:rFonts w:hint="eastAsia" w:ascii="仿宋" w:hAnsi="仿宋" w:eastAsia="仿宋" w:cs="仿宋"/>
                <w:sz w:val="32"/>
                <w:szCs w:val="32"/>
              </w:rPr>
            </w:pPr>
          </w:p>
          <w:p>
            <w:pPr>
              <w:spacing w:line="247" w:lineRule="auto"/>
              <w:jc w:val="both"/>
              <w:rPr>
                <w:rFonts w:hint="eastAsia" w:ascii="仿宋" w:hAnsi="仿宋" w:eastAsia="仿宋" w:cs="仿宋"/>
                <w:sz w:val="32"/>
                <w:szCs w:val="32"/>
              </w:rPr>
            </w:pPr>
          </w:p>
          <w:p>
            <w:pPr>
              <w:spacing w:line="247" w:lineRule="auto"/>
              <w:jc w:val="both"/>
              <w:rPr>
                <w:rFonts w:hint="eastAsia" w:ascii="仿宋" w:hAnsi="仿宋" w:eastAsia="仿宋" w:cs="仿宋"/>
                <w:sz w:val="32"/>
                <w:szCs w:val="32"/>
              </w:rPr>
            </w:pPr>
          </w:p>
          <w:p>
            <w:pPr>
              <w:spacing w:line="247" w:lineRule="auto"/>
              <w:jc w:val="both"/>
              <w:rPr>
                <w:rFonts w:hint="eastAsia" w:ascii="仿宋" w:hAnsi="仿宋" w:eastAsia="仿宋" w:cs="仿宋"/>
                <w:sz w:val="32"/>
                <w:szCs w:val="32"/>
              </w:rPr>
            </w:pPr>
          </w:p>
          <w:p>
            <w:pPr>
              <w:pStyle w:val="38"/>
              <w:spacing w:before="78" w:line="182" w:lineRule="auto"/>
              <w:ind w:left="305"/>
              <w:jc w:val="both"/>
              <w:rPr>
                <w:rFonts w:hint="eastAsia" w:ascii="仿宋" w:hAnsi="仿宋" w:eastAsia="仿宋" w:cs="仿宋"/>
                <w:sz w:val="32"/>
                <w:szCs w:val="32"/>
              </w:rPr>
            </w:pPr>
            <w:r>
              <w:rPr>
                <w:rFonts w:hint="eastAsia" w:ascii="仿宋" w:hAnsi="仿宋" w:eastAsia="仿宋" w:cs="仿宋"/>
                <w:sz w:val="32"/>
                <w:szCs w:val="32"/>
              </w:rPr>
              <w:t>5</w:t>
            </w:r>
          </w:p>
        </w:tc>
        <w:tc>
          <w:tcPr>
            <w:tcW w:w="4814" w:type="dxa"/>
            <w:vMerge w:val="restart"/>
            <w:tcBorders>
              <w:top w:val="single" w:color="000000" w:sz="4" w:space="0"/>
              <w:left w:val="single" w:color="000000" w:sz="4" w:space="0"/>
              <w:bottom w:val="nil"/>
              <w:right w:val="single" w:color="000000" w:sz="4" w:space="0"/>
            </w:tcBorders>
            <w:noWrap/>
          </w:tcPr>
          <w:p>
            <w:pPr>
              <w:pStyle w:val="38"/>
              <w:spacing w:before="290" w:line="218" w:lineRule="auto"/>
              <w:ind w:left="101"/>
              <w:jc w:val="both"/>
              <w:rPr>
                <w:rFonts w:hint="eastAsia" w:ascii="仿宋" w:hAnsi="仿宋" w:eastAsia="仿宋" w:cs="仿宋"/>
                <w:sz w:val="32"/>
                <w:szCs w:val="32"/>
              </w:rPr>
            </w:pPr>
            <w:r>
              <w:rPr>
                <w:rFonts w:hint="eastAsia" w:ascii="仿宋" w:hAnsi="仿宋" w:eastAsia="仿宋" w:cs="仿宋"/>
                <w:sz w:val="32"/>
                <w:szCs w:val="32"/>
              </w:rPr>
              <w:t>教学计划内课程总数*</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94" w:line="223" w:lineRule="auto"/>
              <w:ind w:left="306"/>
              <w:jc w:val="both"/>
              <w:rPr>
                <w:rFonts w:hint="eastAsia" w:ascii="仿宋" w:hAnsi="仿宋" w:eastAsia="仿宋" w:cs="仿宋"/>
                <w:sz w:val="32"/>
                <w:szCs w:val="32"/>
              </w:rPr>
            </w:pPr>
            <w:r>
              <w:rPr>
                <w:rFonts w:hint="eastAsia" w:ascii="仿宋" w:hAnsi="仿宋" w:eastAsia="仿宋" w:cs="仿宋"/>
                <w:sz w:val="32"/>
                <w:szCs w:val="32"/>
              </w:rPr>
              <w:t>门</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100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14" w:type="dxa"/>
            <w:vMerge w:val="continue"/>
            <w:tcBorders>
              <w:top w:val="nil"/>
              <w:left w:val="single" w:color="000000" w:sz="4" w:space="0"/>
              <w:bottom w:val="single" w:color="000000" w:sz="4" w:space="0"/>
              <w:right w:val="single" w:color="000000" w:sz="4" w:space="0"/>
            </w:tcBorders>
            <w:noWrap/>
          </w:tcPr>
          <w:p>
            <w:pPr>
              <w:rPr>
                <w:rFonts w:hint="eastAsia" w:ascii="仿宋" w:hAnsi="仿宋" w:eastAsia="仿宋" w:cs="仿宋"/>
                <w:sz w:val="32"/>
                <w:szCs w:val="32"/>
              </w:rPr>
            </w:pP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81" w:line="221" w:lineRule="auto"/>
              <w:ind w:left="187"/>
              <w:jc w:val="both"/>
              <w:rPr>
                <w:rFonts w:hint="eastAsia" w:ascii="仿宋" w:hAnsi="仿宋" w:eastAsia="仿宋" w:cs="仿宋"/>
                <w:sz w:val="32"/>
                <w:szCs w:val="32"/>
              </w:rPr>
            </w:pPr>
            <w:r>
              <w:rPr>
                <w:rFonts w:hint="eastAsia" w:ascii="仿宋" w:hAnsi="仿宋" w:eastAsia="仿宋" w:cs="仿宋"/>
                <w:spacing w:val="7"/>
                <w:sz w:val="32"/>
                <w:szCs w:val="32"/>
              </w:rPr>
              <w:t>学时</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74400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74724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14" w:type="dxa"/>
            <w:vMerge w:val="restart"/>
            <w:tcBorders>
              <w:top w:val="single" w:color="000000" w:sz="4" w:space="0"/>
              <w:left w:val="single" w:color="000000" w:sz="4" w:space="0"/>
              <w:bottom w:val="nil"/>
              <w:right w:val="single" w:color="000000" w:sz="4" w:space="0"/>
            </w:tcBorders>
            <w:noWrap/>
          </w:tcPr>
          <w:p>
            <w:pPr>
              <w:pStyle w:val="38"/>
              <w:spacing w:before="281" w:line="218" w:lineRule="auto"/>
              <w:ind w:left="101"/>
              <w:jc w:val="both"/>
              <w:rPr>
                <w:rFonts w:hint="eastAsia" w:ascii="仿宋" w:hAnsi="仿宋" w:eastAsia="仿宋" w:cs="仿宋"/>
                <w:sz w:val="32"/>
                <w:szCs w:val="32"/>
              </w:rPr>
            </w:pPr>
            <w:r>
              <w:rPr>
                <w:rFonts w:hint="eastAsia" w:ascii="仿宋" w:hAnsi="仿宋" w:eastAsia="仿宋" w:cs="仿宋"/>
                <w:spacing w:val="-1"/>
                <w:sz w:val="32"/>
                <w:szCs w:val="32"/>
              </w:rPr>
              <w:t>其中：课证融通课程数*</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75" w:line="223" w:lineRule="auto"/>
              <w:ind w:left="306"/>
              <w:jc w:val="both"/>
              <w:rPr>
                <w:rFonts w:hint="eastAsia" w:ascii="仿宋" w:hAnsi="仿宋" w:eastAsia="仿宋" w:cs="仿宋"/>
                <w:sz w:val="32"/>
                <w:szCs w:val="32"/>
              </w:rPr>
            </w:pPr>
            <w:r>
              <w:rPr>
                <w:rFonts w:hint="eastAsia" w:ascii="仿宋" w:hAnsi="仿宋" w:eastAsia="仿宋" w:cs="仿宋"/>
                <w:sz w:val="32"/>
                <w:szCs w:val="32"/>
              </w:rPr>
              <w:t>门</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25</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14" w:type="dxa"/>
            <w:vMerge w:val="continue"/>
            <w:tcBorders>
              <w:top w:val="nil"/>
              <w:left w:val="single" w:color="000000" w:sz="4" w:space="0"/>
              <w:bottom w:val="single" w:color="000000" w:sz="4" w:space="0"/>
              <w:right w:val="single" w:color="000000" w:sz="4" w:space="0"/>
            </w:tcBorders>
            <w:noWrap/>
          </w:tcPr>
          <w:p>
            <w:pPr>
              <w:rPr>
                <w:rFonts w:hint="eastAsia" w:ascii="仿宋" w:hAnsi="仿宋" w:eastAsia="仿宋" w:cs="仿宋"/>
                <w:sz w:val="32"/>
                <w:szCs w:val="32"/>
              </w:rPr>
            </w:pP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92" w:line="221" w:lineRule="auto"/>
              <w:ind w:left="187"/>
              <w:jc w:val="both"/>
              <w:rPr>
                <w:rFonts w:hint="eastAsia" w:ascii="仿宋" w:hAnsi="仿宋" w:eastAsia="仿宋" w:cs="仿宋"/>
                <w:sz w:val="32"/>
                <w:szCs w:val="32"/>
              </w:rPr>
            </w:pPr>
            <w:r>
              <w:rPr>
                <w:rFonts w:hint="eastAsia" w:ascii="仿宋" w:hAnsi="仿宋" w:eastAsia="仿宋" w:cs="仿宋"/>
                <w:spacing w:val="7"/>
                <w:sz w:val="32"/>
                <w:szCs w:val="32"/>
              </w:rPr>
              <w:t>学时</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2590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2590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14" w:type="dxa"/>
            <w:vMerge w:val="restart"/>
            <w:tcBorders>
              <w:top w:val="single" w:color="000000" w:sz="4" w:space="0"/>
              <w:left w:val="single" w:color="000000" w:sz="4" w:space="0"/>
              <w:bottom w:val="nil"/>
              <w:right w:val="single" w:color="000000" w:sz="4" w:space="0"/>
            </w:tcBorders>
            <w:noWrap/>
          </w:tcPr>
          <w:p>
            <w:pPr>
              <w:pStyle w:val="38"/>
              <w:spacing w:before="281" w:line="218" w:lineRule="auto"/>
              <w:ind w:left="820"/>
              <w:jc w:val="both"/>
              <w:rPr>
                <w:rFonts w:hint="eastAsia" w:ascii="仿宋" w:hAnsi="仿宋" w:eastAsia="仿宋" w:cs="仿宋"/>
                <w:sz w:val="32"/>
                <w:szCs w:val="32"/>
              </w:rPr>
            </w:pPr>
            <w:r>
              <w:rPr>
                <w:rFonts w:hint="eastAsia" w:ascii="仿宋" w:hAnsi="仿宋" w:eastAsia="仿宋" w:cs="仿宋"/>
                <w:spacing w:val="1"/>
                <w:sz w:val="32"/>
                <w:szCs w:val="32"/>
              </w:rPr>
              <w:t>网络教学课程数*</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85" w:line="223" w:lineRule="auto"/>
              <w:ind w:left="306"/>
              <w:jc w:val="both"/>
              <w:rPr>
                <w:rFonts w:hint="eastAsia" w:ascii="仿宋" w:hAnsi="仿宋" w:eastAsia="仿宋" w:cs="仿宋"/>
                <w:sz w:val="32"/>
                <w:szCs w:val="32"/>
              </w:rPr>
            </w:pPr>
            <w:r>
              <w:rPr>
                <w:rFonts w:hint="eastAsia" w:ascii="仿宋" w:hAnsi="仿宋" w:eastAsia="仿宋" w:cs="仿宋"/>
                <w:sz w:val="32"/>
                <w:szCs w:val="32"/>
              </w:rPr>
              <w:t>门</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14" w:type="dxa"/>
            <w:vMerge w:val="continue"/>
            <w:tcBorders>
              <w:top w:val="nil"/>
              <w:left w:val="single" w:color="000000" w:sz="4" w:space="0"/>
              <w:bottom w:val="single" w:color="000000" w:sz="4" w:space="0"/>
              <w:right w:val="single" w:color="000000" w:sz="4" w:space="0"/>
            </w:tcBorders>
            <w:noWrap/>
          </w:tcPr>
          <w:p>
            <w:pPr>
              <w:rPr>
                <w:rFonts w:hint="eastAsia" w:ascii="仿宋" w:hAnsi="仿宋" w:eastAsia="仿宋" w:cs="仿宋"/>
                <w:sz w:val="32"/>
                <w:szCs w:val="32"/>
              </w:rPr>
            </w:pP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82" w:line="221" w:lineRule="auto"/>
              <w:ind w:left="187"/>
              <w:jc w:val="both"/>
              <w:rPr>
                <w:rFonts w:hint="eastAsia" w:ascii="仿宋" w:hAnsi="仿宋" w:eastAsia="仿宋" w:cs="仿宋"/>
                <w:sz w:val="32"/>
                <w:szCs w:val="32"/>
              </w:rPr>
            </w:pPr>
            <w:r>
              <w:rPr>
                <w:rFonts w:hint="eastAsia" w:ascii="仿宋" w:hAnsi="仿宋" w:eastAsia="仿宋" w:cs="仿宋"/>
                <w:spacing w:val="7"/>
                <w:sz w:val="32"/>
                <w:szCs w:val="32"/>
              </w:rPr>
              <w:t>学时</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14" w:type="dxa"/>
            <w:vMerge w:val="restart"/>
            <w:tcBorders>
              <w:top w:val="single" w:color="000000" w:sz="4" w:space="0"/>
              <w:left w:val="single" w:color="000000" w:sz="4" w:space="0"/>
              <w:bottom w:val="nil"/>
              <w:right w:val="single" w:color="000000" w:sz="4" w:space="0"/>
            </w:tcBorders>
            <w:noWrap/>
          </w:tcPr>
          <w:p>
            <w:pPr>
              <w:pStyle w:val="38"/>
              <w:spacing w:before="292" w:line="218" w:lineRule="auto"/>
              <w:ind w:left="101"/>
              <w:jc w:val="both"/>
              <w:rPr>
                <w:rFonts w:hint="eastAsia" w:ascii="仿宋" w:hAnsi="仿宋" w:eastAsia="仿宋" w:cs="仿宋"/>
                <w:sz w:val="32"/>
                <w:szCs w:val="32"/>
              </w:rPr>
            </w:pPr>
            <w:r>
              <w:rPr>
                <w:rFonts w:hint="eastAsia" w:ascii="仿宋" w:hAnsi="仿宋" w:eastAsia="仿宋" w:cs="仿宋"/>
                <w:spacing w:val="1"/>
                <w:sz w:val="32"/>
                <w:szCs w:val="32"/>
              </w:rPr>
              <w:t>校企合作课程数</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86" w:line="223" w:lineRule="auto"/>
              <w:ind w:left="306"/>
              <w:jc w:val="both"/>
              <w:rPr>
                <w:rFonts w:hint="eastAsia" w:ascii="仿宋" w:hAnsi="仿宋" w:eastAsia="仿宋" w:cs="仿宋"/>
                <w:sz w:val="32"/>
                <w:szCs w:val="32"/>
              </w:rPr>
            </w:pPr>
            <w:r>
              <w:rPr>
                <w:rFonts w:hint="eastAsia" w:ascii="仿宋" w:hAnsi="仿宋" w:eastAsia="仿宋" w:cs="仿宋"/>
                <w:sz w:val="32"/>
                <w:szCs w:val="32"/>
              </w:rPr>
              <w:t>门</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8</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734" w:type="dxa"/>
            <w:vMerge w:val="continue"/>
            <w:tcBorders>
              <w:top w:val="nil"/>
              <w:left w:val="single" w:color="000000" w:sz="4" w:space="0"/>
              <w:bottom w:val="single" w:color="000000" w:sz="4" w:space="0"/>
              <w:right w:val="single" w:color="000000" w:sz="4" w:space="0"/>
            </w:tcBorders>
            <w:noWrap/>
          </w:tcPr>
          <w:p>
            <w:pPr>
              <w:rPr>
                <w:rFonts w:hint="eastAsia" w:ascii="仿宋" w:hAnsi="仿宋" w:eastAsia="仿宋" w:cs="仿宋"/>
                <w:sz w:val="32"/>
                <w:szCs w:val="32"/>
              </w:rPr>
            </w:pPr>
          </w:p>
        </w:tc>
        <w:tc>
          <w:tcPr>
            <w:tcW w:w="4814" w:type="dxa"/>
            <w:vMerge w:val="continue"/>
            <w:tcBorders>
              <w:top w:val="nil"/>
              <w:left w:val="single" w:color="000000" w:sz="4" w:space="0"/>
              <w:bottom w:val="single" w:color="000000" w:sz="4" w:space="0"/>
              <w:right w:val="single" w:color="000000" w:sz="4" w:space="0"/>
            </w:tcBorders>
            <w:noWrap/>
          </w:tcPr>
          <w:p>
            <w:pPr>
              <w:rPr>
                <w:rFonts w:hint="eastAsia" w:ascii="仿宋" w:hAnsi="仿宋" w:eastAsia="仿宋" w:cs="仿宋"/>
                <w:sz w:val="32"/>
                <w:szCs w:val="32"/>
              </w:rPr>
            </w:pP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93" w:line="221" w:lineRule="auto"/>
              <w:ind w:left="187"/>
              <w:jc w:val="both"/>
              <w:rPr>
                <w:rFonts w:hint="eastAsia" w:ascii="仿宋" w:hAnsi="仿宋" w:eastAsia="仿宋" w:cs="仿宋"/>
                <w:sz w:val="32"/>
                <w:szCs w:val="32"/>
              </w:rPr>
            </w:pPr>
            <w:r>
              <w:rPr>
                <w:rFonts w:hint="eastAsia" w:ascii="仿宋" w:hAnsi="仿宋" w:eastAsia="仿宋" w:cs="仿宋"/>
                <w:spacing w:val="7"/>
                <w:sz w:val="32"/>
                <w:szCs w:val="32"/>
              </w:rPr>
              <w:t>学时</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768</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768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734" w:type="dxa"/>
            <w:vMerge w:val="restart"/>
            <w:tcBorders>
              <w:top w:val="single" w:color="000000" w:sz="4" w:space="0"/>
              <w:left w:val="single" w:color="000000" w:sz="4" w:space="0"/>
              <w:bottom w:val="nil"/>
              <w:right w:val="single" w:color="000000" w:sz="4" w:space="0"/>
            </w:tcBorders>
            <w:noWrap/>
          </w:tcPr>
          <w:p>
            <w:pPr>
              <w:spacing w:line="254" w:lineRule="auto"/>
              <w:jc w:val="both"/>
              <w:rPr>
                <w:rFonts w:hint="eastAsia" w:ascii="仿宋" w:hAnsi="仿宋" w:eastAsia="仿宋" w:cs="仿宋"/>
                <w:sz w:val="32"/>
                <w:szCs w:val="32"/>
              </w:rPr>
            </w:pPr>
          </w:p>
          <w:p>
            <w:pPr>
              <w:spacing w:line="254" w:lineRule="auto"/>
              <w:jc w:val="both"/>
              <w:rPr>
                <w:rFonts w:hint="eastAsia" w:ascii="仿宋" w:hAnsi="仿宋" w:eastAsia="仿宋" w:cs="仿宋"/>
                <w:sz w:val="32"/>
                <w:szCs w:val="32"/>
              </w:rPr>
            </w:pPr>
          </w:p>
          <w:p>
            <w:pPr>
              <w:spacing w:line="254" w:lineRule="auto"/>
              <w:jc w:val="both"/>
              <w:rPr>
                <w:rFonts w:hint="eastAsia" w:ascii="仿宋" w:hAnsi="仿宋" w:eastAsia="仿宋" w:cs="仿宋"/>
                <w:sz w:val="32"/>
                <w:szCs w:val="32"/>
              </w:rPr>
            </w:pPr>
          </w:p>
          <w:p>
            <w:pPr>
              <w:spacing w:line="257" w:lineRule="auto"/>
              <w:jc w:val="both"/>
              <w:rPr>
                <w:rFonts w:hint="eastAsia" w:ascii="仿宋" w:hAnsi="仿宋" w:eastAsia="仿宋" w:cs="仿宋"/>
                <w:sz w:val="32"/>
                <w:szCs w:val="32"/>
              </w:rPr>
            </w:pPr>
          </w:p>
          <w:p>
            <w:pPr>
              <w:spacing w:line="257" w:lineRule="auto"/>
              <w:jc w:val="both"/>
              <w:rPr>
                <w:rFonts w:hint="eastAsia" w:ascii="仿宋" w:hAnsi="仿宋" w:eastAsia="仿宋" w:cs="仿宋"/>
                <w:sz w:val="32"/>
                <w:szCs w:val="32"/>
              </w:rPr>
            </w:pPr>
          </w:p>
          <w:p>
            <w:pPr>
              <w:pStyle w:val="38"/>
              <w:spacing w:before="78" w:line="182" w:lineRule="auto"/>
              <w:ind w:left="305"/>
              <w:jc w:val="both"/>
              <w:rPr>
                <w:rFonts w:hint="eastAsia" w:ascii="仿宋" w:hAnsi="仿宋" w:eastAsia="仿宋" w:cs="仿宋"/>
                <w:sz w:val="32"/>
                <w:szCs w:val="32"/>
              </w:rPr>
            </w:pPr>
            <w:r>
              <w:rPr>
                <w:rFonts w:hint="eastAsia" w:ascii="仿宋" w:hAnsi="仿宋" w:eastAsia="仿宋" w:cs="仿宋"/>
                <w:sz w:val="32"/>
                <w:szCs w:val="32"/>
              </w:rPr>
              <w:t>6</w:t>
            </w: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81" w:line="218" w:lineRule="auto"/>
              <w:ind w:left="101"/>
              <w:jc w:val="both"/>
              <w:rPr>
                <w:rFonts w:hint="eastAsia" w:ascii="仿宋" w:hAnsi="仿宋" w:eastAsia="仿宋" w:cs="仿宋"/>
                <w:sz w:val="32"/>
                <w:szCs w:val="32"/>
              </w:rPr>
            </w:pPr>
            <w:r>
              <w:rPr>
                <w:rFonts w:hint="eastAsia" w:ascii="仿宋" w:hAnsi="仿宋" w:eastAsia="仿宋" w:cs="仿宋"/>
                <w:spacing w:val="1"/>
                <w:sz w:val="32"/>
                <w:szCs w:val="32"/>
              </w:rPr>
              <w:t>专业教学资源库数</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81" w:line="218" w:lineRule="auto"/>
              <w:ind w:left="306"/>
              <w:jc w:val="both"/>
              <w:rPr>
                <w:rFonts w:hint="eastAsia" w:ascii="仿宋" w:hAnsi="仿宋" w:eastAsia="仿宋" w:cs="仿宋"/>
                <w:sz w:val="32"/>
                <w:szCs w:val="32"/>
              </w:rPr>
            </w:pPr>
            <w:r>
              <w:rPr>
                <w:rFonts w:hint="eastAsia" w:ascii="仿宋" w:hAnsi="仿宋" w:eastAsia="仿宋" w:cs="仿宋"/>
                <w:sz w:val="32"/>
                <w:szCs w:val="32"/>
              </w:rPr>
              <w:t>个</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5</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83" w:line="218" w:lineRule="auto"/>
              <w:ind w:left="101"/>
              <w:jc w:val="both"/>
              <w:rPr>
                <w:rFonts w:hint="eastAsia" w:ascii="仿宋" w:hAnsi="仿宋" w:eastAsia="仿宋" w:cs="仿宋"/>
                <w:sz w:val="32"/>
                <w:szCs w:val="32"/>
              </w:rPr>
            </w:pPr>
            <w:r>
              <w:rPr>
                <w:rFonts w:hint="eastAsia" w:ascii="仿宋" w:hAnsi="仿宋" w:eastAsia="仿宋" w:cs="仿宋"/>
                <w:spacing w:val="-2"/>
                <w:sz w:val="32"/>
                <w:szCs w:val="32"/>
              </w:rPr>
              <w:t>其中：国家级数量*</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83" w:line="218" w:lineRule="auto"/>
              <w:ind w:left="306"/>
              <w:jc w:val="both"/>
              <w:rPr>
                <w:rFonts w:hint="eastAsia" w:ascii="仿宋" w:hAnsi="仿宋" w:eastAsia="仿宋" w:cs="仿宋"/>
                <w:sz w:val="32"/>
                <w:szCs w:val="32"/>
              </w:rPr>
            </w:pPr>
            <w:r>
              <w:rPr>
                <w:rFonts w:hint="eastAsia" w:ascii="仿宋" w:hAnsi="仿宋" w:eastAsia="仿宋" w:cs="仿宋"/>
                <w:sz w:val="32"/>
                <w:szCs w:val="32"/>
              </w:rPr>
              <w:t>个</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93" w:line="218" w:lineRule="auto"/>
              <w:ind w:left="1290"/>
              <w:jc w:val="both"/>
              <w:rPr>
                <w:rFonts w:hint="eastAsia" w:ascii="仿宋" w:hAnsi="仿宋" w:eastAsia="仿宋" w:cs="仿宋"/>
                <w:sz w:val="32"/>
                <w:szCs w:val="32"/>
              </w:rPr>
            </w:pPr>
            <w:r>
              <w:rPr>
                <w:rFonts w:hint="eastAsia" w:ascii="仿宋" w:hAnsi="仿宋" w:eastAsia="仿宋" w:cs="仿宋"/>
                <w:spacing w:val="-1"/>
                <w:sz w:val="32"/>
                <w:szCs w:val="32"/>
              </w:rPr>
              <w:t>接入国家智慧教育平台数*</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93" w:line="218" w:lineRule="auto"/>
              <w:ind w:left="306"/>
              <w:jc w:val="both"/>
              <w:rPr>
                <w:rFonts w:hint="eastAsia" w:ascii="仿宋" w:hAnsi="仿宋" w:eastAsia="仿宋" w:cs="仿宋"/>
                <w:sz w:val="32"/>
                <w:szCs w:val="32"/>
              </w:rPr>
            </w:pPr>
            <w:r>
              <w:rPr>
                <w:rFonts w:hint="eastAsia" w:ascii="仿宋" w:hAnsi="仿宋" w:eastAsia="仿宋" w:cs="仿宋"/>
                <w:sz w:val="32"/>
                <w:szCs w:val="32"/>
              </w:rPr>
              <w:t>个</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83" w:line="218" w:lineRule="auto"/>
              <w:ind w:left="101"/>
              <w:jc w:val="both"/>
              <w:rPr>
                <w:rFonts w:hint="eastAsia" w:ascii="仿宋" w:hAnsi="仿宋" w:eastAsia="仿宋" w:cs="仿宋"/>
                <w:sz w:val="32"/>
                <w:szCs w:val="32"/>
              </w:rPr>
            </w:pPr>
            <w:r>
              <w:rPr>
                <w:rFonts w:hint="eastAsia" w:ascii="仿宋" w:hAnsi="仿宋" w:eastAsia="仿宋" w:cs="仿宋"/>
                <w:spacing w:val="2"/>
                <w:sz w:val="32"/>
                <w:szCs w:val="32"/>
              </w:rPr>
              <w:t>省级数量</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83" w:line="218" w:lineRule="auto"/>
              <w:ind w:left="306"/>
              <w:jc w:val="both"/>
              <w:rPr>
                <w:rFonts w:hint="eastAsia" w:ascii="仿宋" w:hAnsi="仿宋" w:eastAsia="仿宋" w:cs="仿宋"/>
                <w:sz w:val="32"/>
                <w:szCs w:val="32"/>
              </w:rPr>
            </w:pPr>
            <w:r>
              <w:rPr>
                <w:rFonts w:hint="eastAsia" w:ascii="仿宋" w:hAnsi="仿宋" w:eastAsia="仿宋" w:cs="仿宋"/>
                <w:sz w:val="32"/>
                <w:szCs w:val="32"/>
              </w:rPr>
              <w:t>个</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84" w:line="218" w:lineRule="auto"/>
              <w:ind w:left="1290"/>
              <w:jc w:val="both"/>
              <w:rPr>
                <w:rFonts w:hint="eastAsia" w:ascii="仿宋" w:hAnsi="仿宋" w:eastAsia="仿宋" w:cs="仿宋"/>
                <w:sz w:val="32"/>
                <w:szCs w:val="32"/>
              </w:rPr>
            </w:pPr>
            <w:r>
              <w:rPr>
                <w:rFonts w:hint="eastAsia" w:ascii="仿宋" w:hAnsi="仿宋" w:eastAsia="仿宋" w:cs="仿宋"/>
                <w:spacing w:val="-1"/>
                <w:sz w:val="32"/>
                <w:szCs w:val="32"/>
              </w:rPr>
              <w:t>接入国家智慧教育平台数*</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84" w:line="218" w:lineRule="auto"/>
              <w:ind w:left="306"/>
              <w:jc w:val="both"/>
              <w:rPr>
                <w:rFonts w:hint="eastAsia" w:ascii="仿宋" w:hAnsi="仿宋" w:eastAsia="仿宋" w:cs="仿宋"/>
                <w:sz w:val="32"/>
                <w:szCs w:val="32"/>
              </w:rPr>
            </w:pPr>
            <w:r>
              <w:rPr>
                <w:rFonts w:hint="eastAsia" w:ascii="仿宋" w:hAnsi="仿宋" w:eastAsia="仿宋" w:cs="仿宋"/>
                <w:sz w:val="32"/>
                <w:szCs w:val="32"/>
              </w:rPr>
              <w:t>个</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74" w:line="218" w:lineRule="auto"/>
              <w:ind w:left="101"/>
              <w:jc w:val="both"/>
              <w:rPr>
                <w:rFonts w:hint="eastAsia" w:ascii="仿宋" w:hAnsi="仿宋" w:eastAsia="仿宋" w:cs="仿宋"/>
                <w:sz w:val="32"/>
                <w:szCs w:val="32"/>
              </w:rPr>
            </w:pPr>
            <w:r>
              <w:rPr>
                <w:rFonts w:hint="eastAsia" w:ascii="仿宋" w:hAnsi="仿宋" w:eastAsia="仿宋" w:cs="仿宋"/>
                <w:spacing w:val="-2"/>
                <w:sz w:val="32"/>
                <w:szCs w:val="32"/>
              </w:rPr>
              <w:t>校级数量</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74" w:line="218" w:lineRule="auto"/>
              <w:ind w:left="306"/>
              <w:jc w:val="both"/>
              <w:rPr>
                <w:rFonts w:hint="eastAsia" w:ascii="仿宋" w:hAnsi="仿宋" w:eastAsia="仿宋" w:cs="仿宋"/>
                <w:sz w:val="32"/>
                <w:szCs w:val="32"/>
              </w:rPr>
            </w:pPr>
            <w:r>
              <w:rPr>
                <w:rFonts w:hint="eastAsia" w:ascii="仿宋" w:hAnsi="仿宋" w:eastAsia="仿宋" w:cs="仿宋"/>
                <w:sz w:val="32"/>
                <w:szCs w:val="32"/>
              </w:rPr>
              <w:t>个</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5</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734" w:type="dxa"/>
            <w:vMerge w:val="continue"/>
            <w:tcBorders>
              <w:top w:val="nil"/>
              <w:left w:val="single" w:color="000000" w:sz="4" w:space="0"/>
              <w:bottom w:val="single" w:color="000000" w:sz="4" w:space="0"/>
              <w:right w:val="single" w:color="000000" w:sz="4" w:space="0"/>
            </w:tcBorders>
            <w:noWrap/>
          </w:tcPr>
          <w:p>
            <w:pPr>
              <w:rPr>
                <w:rFonts w:hint="eastAsia" w:ascii="仿宋" w:hAnsi="仿宋" w:eastAsia="仿宋" w:cs="仿宋"/>
                <w:sz w:val="32"/>
                <w:szCs w:val="32"/>
              </w:rPr>
            </w:pP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94" w:line="218" w:lineRule="auto"/>
              <w:ind w:left="1290"/>
              <w:jc w:val="both"/>
              <w:rPr>
                <w:rFonts w:hint="eastAsia" w:ascii="仿宋" w:hAnsi="仿宋" w:eastAsia="仿宋" w:cs="仿宋"/>
                <w:sz w:val="32"/>
                <w:szCs w:val="32"/>
              </w:rPr>
            </w:pPr>
            <w:r>
              <w:rPr>
                <w:rFonts w:hint="eastAsia" w:ascii="仿宋" w:hAnsi="仿宋" w:eastAsia="仿宋" w:cs="仿宋"/>
                <w:spacing w:val="-1"/>
                <w:sz w:val="32"/>
                <w:szCs w:val="32"/>
              </w:rPr>
              <w:t>接入国家智慧教育平台数*</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94" w:line="218" w:lineRule="auto"/>
              <w:ind w:left="306"/>
              <w:jc w:val="both"/>
              <w:rPr>
                <w:rFonts w:hint="eastAsia" w:ascii="仿宋" w:hAnsi="仿宋" w:eastAsia="仿宋" w:cs="仿宋"/>
                <w:sz w:val="32"/>
                <w:szCs w:val="32"/>
              </w:rPr>
            </w:pPr>
            <w:r>
              <w:rPr>
                <w:rFonts w:hint="eastAsia" w:ascii="仿宋" w:hAnsi="仿宋" w:eastAsia="仿宋" w:cs="仿宋"/>
                <w:sz w:val="32"/>
                <w:szCs w:val="32"/>
              </w:rPr>
              <w:t>个</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734" w:type="dxa"/>
            <w:vMerge w:val="restart"/>
            <w:tcBorders>
              <w:top w:val="single" w:color="000000" w:sz="4" w:space="0"/>
              <w:left w:val="single" w:color="000000" w:sz="4" w:space="0"/>
              <w:bottom w:val="nil"/>
              <w:right w:val="single" w:color="000000" w:sz="4" w:space="0"/>
            </w:tcBorders>
            <w:noWrap/>
          </w:tcPr>
          <w:p>
            <w:pPr>
              <w:spacing w:line="278" w:lineRule="auto"/>
              <w:jc w:val="both"/>
              <w:rPr>
                <w:rFonts w:hint="eastAsia" w:ascii="仿宋" w:hAnsi="仿宋" w:eastAsia="仿宋" w:cs="仿宋"/>
                <w:sz w:val="32"/>
                <w:szCs w:val="32"/>
              </w:rPr>
            </w:pPr>
          </w:p>
          <w:p>
            <w:pPr>
              <w:spacing w:line="281" w:lineRule="auto"/>
              <w:jc w:val="both"/>
              <w:rPr>
                <w:rFonts w:hint="eastAsia" w:ascii="仿宋" w:hAnsi="仿宋" w:eastAsia="仿宋" w:cs="仿宋"/>
                <w:sz w:val="32"/>
                <w:szCs w:val="32"/>
              </w:rPr>
            </w:pPr>
          </w:p>
          <w:p>
            <w:pPr>
              <w:spacing w:line="281" w:lineRule="auto"/>
              <w:jc w:val="both"/>
              <w:rPr>
                <w:rFonts w:hint="eastAsia" w:ascii="仿宋" w:hAnsi="仿宋" w:eastAsia="仿宋" w:cs="仿宋"/>
                <w:sz w:val="32"/>
                <w:szCs w:val="32"/>
              </w:rPr>
            </w:pPr>
          </w:p>
          <w:p>
            <w:pPr>
              <w:spacing w:line="281" w:lineRule="auto"/>
              <w:jc w:val="both"/>
              <w:rPr>
                <w:rFonts w:hint="eastAsia" w:ascii="仿宋" w:hAnsi="仿宋" w:eastAsia="仿宋" w:cs="仿宋"/>
                <w:sz w:val="32"/>
                <w:szCs w:val="32"/>
              </w:rPr>
            </w:pPr>
          </w:p>
          <w:p>
            <w:pPr>
              <w:spacing w:line="281" w:lineRule="auto"/>
              <w:jc w:val="both"/>
              <w:rPr>
                <w:rFonts w:hint="eastAsia" w:ascii="仿宋" w:hAnsi="仿宋" w:eastAsia="仿宋" w:cs="仿宋"/>
                <w:sz w:val="32"/>
                <w:szCs w:val="32"/>
              </w:rPr>
            </w:pPr>
          </w:p>
          <w:p>
            <w:pPr>
              <w:spacing w:line="281" w:lineRule="auto"/>
              <w:jc w:val="both"/>
              <w:rPr>
                <w:rFonts w:hint="eastAsia" w:ascii="仿宋" w:hAnsi="仿宋" w:eastAsia="仿宋" w:cs="仿宋"/>
                <w:sz w:val="32"/>
                <w:szCs w:val="32"/>
              </w:rPr>
            </w:pPr>
          </w:p>
          <w:p>
            <w:pPr>
              <w:pStyle w:val="38"/>
              <w:spacing w:before="78" w:line="182" w:lineRule="auto"/>
              <w:ind w:left="305"/>
              <w:jc w:val="both"/>
              <w:rPr>
                <w:rFonts w:hint="eastAsia" w:ascii="仿宋" w:hAnsi="仿宋" w:eastAsia="仿宋" w:cs="仿宋"/>
                <w:sz w:val="32"/>
                <w:szCs w:val="32"/>
              </w:rPr>
            </w:pPr>
            <w:r>
              <w:rPr>
                <w:rFonts w:hint="eastAsia" w:ascii="仿宋" w:hAnsi="仿宋" w:eastAsia="仿宋" w:cs="仿宋"/>
                <w:sz w:val="32"/>
                <w:szCs w:val="32"/>
              </w:rPr>
              <w:t>7</w:t>
            </w:r>
          </w:p>
        </w:tc>
        <w:tc>
          <w:tcPr>
            <w:tcW w:w="4814" w:type="dxa"/>
            <w:vMerge w:val="restart"/>
            <w:tcBorders>
              <w:top w:val="single" w:color="000000" w:sz="4" w:space="0"/>
              <w:left w:val="single" w:color="000000" w:sz="4" w:space="0"/>
              <w:bottom w:val="nil"/>
              <w:right w:val="single" w:color="000000" w:sz="4" w:space="0"/>
            </w:tcBorders>
            <w:noWrap/>
          </w:tcPr>
          <w:p>
            <w:pPr>
              <w:pStyle w:val="38"/>
              <w:spacing w:before="283" w:line="218" w:lineRule="auto"/>
              <w:ind w:left="101"/>
              <w:jc w:val="both"/>
              <w:rPr>
                <w:rFonts w:hint="eastAsia" w:ascii="仿宋" w:hAnsi="仿宋" w:eastAsia="仿宋" w:cs="仿宋"/>
                <w:sz w:val="32"/>
                <w:szCs w:val="32"/>
              </w:rPr>
            </w:pPr>
            <w:r>
              <w:rPr>
                <w:rFonts w:hint="eastAsia" w:ascii="仿宋" w:hAnsi="仿宋" w:eastAsia="仿宋" w:cs="仿宋"/>
                <w:spacing w:val="-1"/>
                <w:sz w:val="32"/>
                <w:szCs w:val="32"/>
              </w:rPr>
              <w:t>在线精品课程数*</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89" w:line="223" w:lineRule="auto"/>
              <w:ind w:left="306"/>
              <w:jc w:val="both"/>
              <w:rPr>
                <w:rFonts w:hint="eastAsia" w:ascii="仿宋" w:hAnsi="仿宋" w:eastAsia="仿宋" w:cs="仿宋"/>
                <w:sz w:val="32"/>
                <w:szCs w:val="32"/>
              </w:rPr>
            </w:pPr>
            <w:r>
              <w:rPr>
                <w:rFonts w:hint="eastAsia" w:ascii="仿宋" w:hAnsi="仿宋" w:eastAsia="仿宋" w:cs="仿宋"/>
                <w:sz w:val="32"/>
                <w:szCs w:val="32"/>
              </w:rPr>
              <w:t>门</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14" w:type="dxa"/>
            <w:vMerge w:val="continue"/>
            <w:tcBorders>
              <w:top w:val="nil"/>
              <w:left w:val="single" w:color="000000" w:sz="4" w:space="0"/>
              <w:bottom w:val="single" w:color="000000" w:sz="4" w:space="0"/>
              <w:right w:val="single" w:color="000000" w:sz="4" w:space="0"/>
            </w:tcBorders>
            <w:noWrap/>
          </w:tcPr>
          <w:p>
            <w:pPr>
              <w:rPr>
                <w:rFonts w:hint="eastAsia" w:ascii="仿宋" w:hAnsi="仿宋" w:eastAsia="仿宋" w:cs="仿宋"/>
                <w:sz w:val="32"/>
                <w:szCs w:val="32"/>
              </w:rPr>
            </w:pP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87" w:line="221" w:lineRule="auto"/>
              <w:ind w:left="187"/>
              <w:jc w:val="both"/>
              <w:rPr>
                <w:rFonts w:hint="eastAsia" w:ascii="仿宋" w:hAnsi="仿宋" w:eastAsia="仿宋" w:cs="仿宋"/>
                <w:sz w:val="32"/>
                <w:szCs w:val="32"/>
              </w:rPr>
            </w:pPr>
            <w:r>
              <w:rPr>
                <w:rFonts w:hint="eastAsia" w:ascii="仿宋" w:hAnsi="仿宋" w:eastAsia="仿宋" w:cs="仿宋"/>
                <w:spacing w:val="7"/>
                <w:sz w:val="32"/>
                <w:szCs w:val="32"/>
              </w:rPr>
              <w:t>学时</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72</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288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94" w:line="218" w:lineRule="auto"/>
              <w:ind w:left="101"/>
              <w:jc w:val="both"/>
              <w:rPr>
                <w:rFonts w:hint="eastAsia" w:ascii="仿宋" w:hAnsi="仿宋" w:eastAsia="仿宋" w:cs="仿宋"/>
                <w:sz w:val="32"/>
                <w:szCs w:val="32"/>
              </w:rPr>
            </w:pPr>
            <w:r>
              <w:rPr>
                <w:rFonts w:hint="eastAsia" w:ascii="仿宋" w:hAnsi="仿宋" w:eastAsia="仿宋" w:cs="仿宋"/>
                <w:spacing w:val="-1"/>
                <w:sz w:val="32"/>
                <w:szCs w:val="32"/>
              </w:rPr>
              <w:t>在线精品课程课均学生数*</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99" w:line="223" w:lineRule="auto"/>
              <w:ind w:left="306"/>
              <w:jc w:val="both"/>
              <w:rPr>
                <w:rFonts w:hint="eastAsia" w:ascii="仿宋" w:hAnsi="仿宋" w:eastAsia="仿宋" w:cs="仿宋"/>
                <w:sz w:val="32"/>
                <w:szCs w:val="32"/>
              </w:rPr>
            </w:pPr>
            <w:r>
              <w:rPr>
                <w:rFonts w:hint="eastAsia" w:ascii="仿宋" w:hAnsi="仿宋" w:eastAsia="仿宋" w:cs="仿宋"/>
                <w:sz w:val="32"/>
                <w:szCs w:val="32"/>
              </w:rPr>
              <w:t>人</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800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832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86" w:line="218" w:lineRule="auto"/>
              <w:ind w:left="101"/>
              <w:jc w:val="both"/>
              <w:rPr>
                <w:rFonts w:hint="eastAsia" w:ascii="仿宋" w:hAnsi="仿宋" w:eastAsia="仿宋" w:cs="仿宋"/>
                <w:sz w:val="32"/>
                <w:szCs w:val="32"/>
              </w:rPr>
            </w:pPr>
            <w:r>
              <w:rPr>
                <w:rFonts w:hint="eastAsia" w:ascii="仿宋" w:hAnsi="仿宋" w:eastAsia="仿宋" w:cs="仿宋"/>
                <w:spacing w:val="-2"/>
                <w:sz w:val="32"/>
                <w:szCs w:val="32"/>
              </w:rPr>
              <w:t>其中：国家级数量*</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90" w:line="223" w:lineRule="auto"/>
              <w:ind w:left="306"/>
              <w:jc w:val="both"/>
              <w:rPr>
                <w:rFonts w:hint="eastAsia" w:ascii="仿宋" w:hAnsi="仿宋" w:eastAsia="仿宋" w:cs="仿宋"/>
                <w:sz w:val="32"/>
                <w:szCs w:val="32"/>
              </w:rPr>
            </w:pPr>
            <w:r>
              <w:rPr>
                <w:rFonts w:hint="eastAsia" w:ascii="仿宋" w:hAnsi="仿宋" w:eastAsia="仿宋" w:cs="仿宋"/>
                <w:sz w:val="32"/>
                <w:szCs w:val="32"/>
              </w:rPr>
              <w:t>门</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86" w:line="218" w:lineRule="auto"/>
              <w:ind w:left="1290"/>
              <w:jc w:val="both"/>
              <w:rPr>
                <w:rFonts w:hint="eastAsia" w:ascii="仿宋" w:hAnsi="仿宋" w:eastAsia="仿宋" w:cs="仿宋"/>
                <w:sz w:val="32"/>
                <w:szCs w:val="32"/>
              </w:rPr>
            </w:pPr>
            <w:r>
              <w:rPr>
                <w:rFonts w:hint="eastAsia" w:ascii="仿宋" w:hAnsi="仿宋" w:eastAsia="仿宋" w:cs="仿宋"/>
                <w:spacing w:val="-1"/>
                <w:sz w:val="32"/>
                <w:szCs w:val="32"/>
              </w:rPr>
              <w:t>接入国家智慧教育平台数*</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90" w:line="223" w:lineRule="auto"/>
              <w:ind w:left="306"/>
              <w:jc w:val="both"/>
              <w:rPr>
                <w:rFonts w:hint="eastAsia" w:ascii="仿宋" w:hAnsi="仿宋" w:eastAsia="仿宋" w:cs="仿宋"/>
                <w:sz w:val="32"/>
                <w:szCs w:val="32"/>
              </w:rPr>
            </w:pPr>
            <w:r>
              <w:rPr>
                <w:rFonts w:hint="eastAsia" w:ascii="仿宋" w:hAnsi="仿宋" w:eastAsia="仿宋" w:cs="仿宋"/>
                <w:sz w:val="32"/>
                <w:szCs w:val="32"/>
              </w:rPr>
              <w:t>门</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96" w:line="218" w:lineRule="auto"/>
              <w:ind w:left="101"/>
              <w:jc w:val="both"/>
              <w:rPr>
                <w:rFonts w:hint="eastAsia" w:ascii="仿宋" w:hAnsi="仿宋" w:eastAsia="仿宋" w:cs="仿宋"/>
                <w:sz w:val="32"/>
                <w:szCs w:val="32"/>
              </w:rPr>
            </w:pPr>
            <w:r>
              <w:rPr>
                <w:rFonts w:hint="eastAsia" w:ascii="仿宋" w:hAnsi="仿宋" w:eastAsia="仿宋" w:cs="仿宋"/>
                <w:spacing w:val="2"/>
                <w:sz w:val="32"/>
                <w:szCs w:val="32"/>
              </w:rPr>
              <w:t>省级数量</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100" w:line="223" w:lineRule="auto"/>
              <w:ind w:left="306"/>
              <w:jc w:val="both"/>
              <w:rPr>
                <w:rFonts w:hint="eastAsia" w:ascii="仿宋" w:hAnsi="仿宋" w:eastAsia="仿宋" w:cs="仿宋"/>
                <w:sz w:val="32"/>
                <w:szCs w:val="32"/>
              </w:rPr>
            </w:pPr>
            <w:r>
              <w:rPr>
                <w:rFonts w:hint="eastAsia" w:ascii="仿宋" w:hAnsi="仿宋" w:eastAsia="仿宋" w:cs="仿宋"/>
                <w:sz w:val="32"/>
                <w:szCs w:val="32"/>
              </w:rPr>
              <w:t>门</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86" w:line="218" w:lineRule="auto"/>
              <w:ind w:left="1290"/>
              <w:jc w:val="both"/>
              <w:rPr>
                <w:rFonts w:hint="eastAsia" w:ascii="仿宋" w:hAnsi="仿宋" w:eastAsia="仿宋" w:cs="仿宋"/>
                <w:sz w:val="32"/>
                <w:szCs w:val="32"/>
              </w:rPr>
            </w:pPr>
            <w:r>
              <w:rPr>
                <w:rFonts w:hint="eastAsia" w:ascii="仿宋" w:hAnsi="仿宋" w:eastAsia="仿宋" w:cs="仿宋"/>
                <w:spacing w:val="-1"/>
                <w:sz w:val="32"/>
                <w:szCs w:val="32"/>
              </w:rPr>
              <w:t>接入国家智慧教育平台数*</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90" w:line="223" w:lineRule="auto"/>
              <w:ind w:left="306"/>
              <w:jc w:val="both"/>
              <w:rPr>
                <w:rFonts w:hint="eastAsia" w:ascii="仿宋" w:hAnsi="仿宋" w:eastAsia="仿宋" w:cs="仿宋"/>
                <w:sz w:val="32"/>
                <w:szCs w:val="32"/>
              </w:rPr>
            </w:pPr>
            <w:r>
              <w:rPr>
                <w:rFonts w:hint="eastAsia" w:ascii="仿宋" w:hAnsi="仿宋" w:eastAsia="仿宋" w:cs="仿宋"/>
                <w:sz w:val="32"/>
                <w:szCs w:val="32"/>
              </w:rPr>
              <w:t>门</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87" w:line="218" w:lineRule="auto"/>
              <w:ind w:left="101"/>
              <w:jc w:val="both"/>
              <w:rPr>
                <w:rFonts w:hint="eastAsia" w:ascii="仿宋" w:hAnsi="仿宋" w:eastAsia="仿宋" w:cs="仿宋"/>
                <w:sz w:val="32"/>
                <w:szCs w:val="32"/>
              </w:rPr>
            </w:pPr>
            <w:r>
              <w:rPr>
                <w:rFonts w:hint="eastAsia" w:ascii="仿宋" w:hAnsi="仿宋" w:eastAsia="仿宋" w:cs="仿宋"/>
                <w:spacing w:val="-2"/>
                <w:sz w:val="32"/>
                <w:szCs w:val="32"/>
              </w:rPr>
              <w:t>校级数量</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91" w:line="223" w:lineRule="auto"/>
              <w:ind w:left="306"/>
              <w:jc w:val="both"/>
              <w:rPr>
                <w:rFonts w:hint="eastAsia" w:ascii="仿宋" w:hAnsi="仿宋" w:eastAsia="仿宋" w:cs="仿宋"/>
                <w:sz w:val="32"/>
                <w:szCs w:val="32"/>
              </w:rPr>
            </w:pPr>
            <w:r>
              <w:rPr>
                <w:rFonts w:hint="eastAsia" w:ascii="仿宋" w:hAnsi="仿宋" w:eastAsia="仿宋" w:cs="仿宋"/>
                <w:sz w:val="32"/>
                <w:szCs w:val="32"/>
              </w:rPr>
              <w:t>门</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734" w:type="dxa"/>
            <w:vMerge w:val="continue"/>
            <w:tcBorders>
              <w:top w:val="nil"/>
              <w:left w:val="single" w:color="000000" w:sz="4" w:space="0"/>
              <w:bottom w:val="single" w:color="000000" w:sz="4" w:space="0"/>
              <w:right w:val="single" w:color="000000" w:sz="4" w:space="0"/>
            </w:tcBorders>
            <w:noWrap/>
          </w:tcPr>
          <w:p>
            <w:pPr>
              <w:rPr>
                <w:rFonts w:hint="eastAsia" w:ascii="仿宋" w:hAnsi="仿宋" w:eastAsia="仿宋" w:cs="仿宋"/>
                <w:sz w:val="32"/>
                <w:szCs w:val="32"/>
              </w:rPr>
            </w:pP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87" w:line="218" w:lineRule="auto"/>
              <w:ind w:left="1290"/>
              <w:jc w:val="both"/>
              <w:rPr>
                <w:rFonts w:hint="eastAsia" w:ascii="仿宋" w:hAnsi="仿宋" w:eastAsia="仿宋" w:cs="仿宋"/>
                <w:sz w:val="32"/>
                <w:szCs w:val="32"/>
              </w:rPr>
            </w:pPr>
            <w:r>
              <w:rPr>
                <w:rFonts w:hint="eastAsia" w:ascii="仿宋" w:hAnsi="仿宋" w:eastAsia="仿宋" w:cs="仿宋"/>
                <w:spacing w:val="-1"/>
                <w:sz w:val="32"/>
                <w:szCs w:val="32"/>
              </w:rPr>
              <w:t>接入国家智慧教育平台数*</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91" w:line="223" w:lineRule="auto"/>
              <w:ind w:left="306"/>
              <w:jc w:val="both"/>
              <w:rPr>
                <w:rFonts w:hint="eastAsia" w:ascii="仿宋" w:hAnsi="仿宋" w:eastAsia="仿宋" w:cs="仿宋"/>
                <w:sz w:val="32"/>
                <w:szCs w:val="32"/>
              </w:rPr>
            </w:pPr>
            <w:r>
              <w:rPr>
                <w:rFonts w:hint="eastAsia" w:ascii="仿宋" w:hAnsi="仿宋" w:eastAsia="仿宋" w:cs="仿宋"/>
                <w:sz w:val="32"/>
                <w:szCs w:val="32"/>
              </w:rPr>
              <w:t>门</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734" w:type="dxa"/>
            <w:vMerge w:val="restart"/>
            <w:tcBorders>
              <w:top w:val="single" w:color="000000" w:sz="4" w:space="0"/>
              <w:left w:val="single" w:color="000000" w:sz="4" w:space="0"/>
              <w:bottom w:val="nil"/>
              <w:right w:val="single" w:color="000000" w:sz="4" w:space="0"/>
            </w:tcBorders>
            <w:noWrap/>
          </w:tcPr>
          <w:p>
            <w:pPr>
              <w:spacing w:line="274" w:lineRule="auto"/>
              <w:jc w:val="both"/>
              <w:rPr>
                <w:rFonts w:hint="eastAsia" w:ascii="仿宋" w:hAnsi="仿宋" w:eastAsia="仿宋" w:cs="仿宋"/>
                <w:sz w:val="32"/>
                <w:szCs w:val="32"/>
              </w:rPr>
            </w:pPr>
          </w:p>
          <w:p>
            <w:pPr>
              <w:spacing w:line="274" w:lineRule="auto"/>
              <w:jc w:val="both"/>
              <w:rPr>
                <w:rFonts w:hint="eastAsia" w:ascii="仿宋" w:hAnsi="仿宋" w:eastAsia="仿宋" w:cs="仿宋"/>
                <w:sz w:val="32"/>
                <w:szCs w:val="32"/>
              </w:rPr>
            </w:pPr>
          </w:p>
          <w:p>
            <w:pPr>
              <w:spacing w:line="274" w:lineRule="auto"/>
              <w:jc w:val="both"/>
              <w:rPr>
                <w:rFonts w:hint="eastAsia" w:ascii="仿宋" w:hAnsi="仿宋" w:eastAsia="仿宋" w:cs="仿宋"/>
                <w:sz w:val="32"/>
                <w:szCs w:val="32"/>
              </w:rPr>
            </w:pPr>
          </w:p>
          <w:p>
            <w:pPr>
              <w:spacing w:line="276" w:lineRule="auto"/>
              <w:jc w:val="both"/>
              <w:rPr>
                <w:rFonts w:hint="eastAsia" w:ascii="仿宋" w:hAnsi="仿宋" w:eastAsia="仿宋" w:cs="仿宋"/>
                <w:sz w:val="32"/>
                <w:szCs w:val="32"/>
              </w:rPr>
            </w:pPr>
          </w:p>
          <w:p>
            <w:pPr>
              <w:spacing w:line="276" w:lineRule="auto"/>
              <w:jc w:val="both"/>
              <w:rPr>
                <w:rFonts w:hint="eastAsia" w:ascii="仿宋" w:hAnsi="仿宋" w:eastAsia="仿宋" w:cs="仿宋"/>
                <w:sz w:val="32"/>
                <w:szCs w:val="32"/>
              </w:rPr>
            </w:pPr>
          </w:p>
          <w:p>
            <w:pPr>
              <w:pStyle w:val="38"/>
              <w:spacing w:before="78" w:line="182" w:lineRule="auto"/>
              <w:ind w:left="305"/>
              <w:jc w:val="both"/>
              <w:rPr>
                <w:rFonts w:hint="eastAsia" w:ascii="仿宋" w:hAnsi="仿宋" w:eastAsia="仿宋" w:cs="仿宋"/>
                <w:sz w:val="32"/>
                <w:szCs w:val="32"/>
              </w:rPr>
            </w:pPr>
            <w:r>
              <w:rPr>
                <w:rFonts w:hint="eastAsia" w:ascii="仿宋" w:hAnsi="仿宋" w:eastAsia="仿宋" w:cs="仿宋"/>
                <w:sz w:val="32"/>
                <w:szCs w:val="32"/>
              </w:rPr>
              <w:t>8</w:t>
            </w: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95" w:line="218" w:lineRule="auto"/>
              <w:ind w:left="101"/>
              <w:jc w:val="both"/>
              <w:rPr>
                <w:rFonts w:hint="eastAsia" w:ascii="仿宋" w:hAnsi="仿宋" w:eastAsia="仿宋" w:cs="仿宋"/>
                <w:sz w:val="32"/>
                <w:szCs w:val="32"/>
              </w:rPr>
            </w:pPr>
            <w:r>
              <w:rPr>
                <w:rFonts w:hint="eastAsia" w:ascii="仿宋" w:hAnsi="仿宋" w:eastAsia="仿宋" w:cs="仿宋"/>
                <w:spacing w:val="1"/>
                <w:sz w:val="32"/>
                <w:szCs w:val="32"/>
              </w:rPr>
              <w:t>虚拟仿真实训基地数</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97" w:line="218" w:lineRule="auto"/>
              <w:ind w:left="306"/>
              <w:jc w:val="both"/>
              <w:rPr>
                <w:rFonts w:hint="eastAsia" w:ascii="仿宋" w:hAnsi="仿宋" w:eastAsia="仿宋" w:cs="仿宋"/>
                <w:sz w:val="32"/>
                <w:szCs w:val="32"/>
              </w:rPr>
            </w:pPr>
            <w:r>
              <w:rPr>
                <w:rFonts w:hint="eastAsia" w:ascii="仿宋" w:hAnsi="仿宋" w:eastAsia="仿宋" w:cs="仿宋"/>
                <w:sz w:val="32"/>
                <w:szCs w:val="32"/>
              </w:rPr>
              <w:t>个</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4</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87" w:line="218" w:lineRule="auto"/>
              <w:ind w:left="101"/>
              <w:jc w:val="both"/>
              <w:rPr>
                <w:rFonts w:hint="eastAsia" w:ascii="仿宋" w:hAnsi="仿宋" w:eastAsia="仿宋" w:cs="仿宋"/>
                <w:sz w:val="32"/>
                <w:szCs w:val="32"/>
              </w:rPr>
            </w:pPr>
            <w:r>
              <w:rPr>
                <w:rFonts w:hint="eastAsia" w:ascii="仿宋" w:hAnsi="仿宋" w:eastAsia="仿宋" w:cs="仿宋"/>
                <w:spacing w:val="-2"/>
                <w:sz w:val="32"/>
                <w:szCs w:val="32"/>
              </w:rPr>
              <w:t>其中：国家级数量*</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87" w:line="218" w:lineRule="auto"/>
              <w:ind w:left="306"/>
              <w:jc w:val="both"/>
              <w:rPr>
                <w:rFonts w:hint="eastAsia" w:ascii="仿宋" w:hAnsi="仿宋" w:eastAsia="仿宋" w:cs="仿宋"/>
                <w:sz w:val="32"/>
                <w:szCs w:val="32"/>
              </w:rPr>
            </w:pPr>
            <w:r>
              <w:rPr>
                <w:rFonts w:hint="eastAsia" w:ascii="仿宋" w:hAnsi="仿宋" w:eastAsia="仿宋" w:cs="仿宋"/>
                <w:sz w:val="32"/>
                <w:szCs w:val="32"/>
              </w:rPr>
              <w:t>个</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88" w:line="218" w:lineRule="auto"/>
              <w:ind w:left="1290"/>
              <w:jc w:val="both"/>
              <w:rPr>
                <w:rFonts w:hint="eastAsia" w:ascii="仿宋" w:hAnsi="仿宋" w:eastAsia="仿宋" w:cs="仿宋"/>
                <w:sz w:val="32"/>
                <w:szCs w:val="32"/>
              </w:rPr>
            </w:pPr>
            <w:r>
              <w:rPr>
                <w:rFonts w:hint="eastAsia" w:ascii="仿宋" w:hAnsi="仿宋" w:eastAsia="仿宋" w:cs="仿宋"/>
                <w:spacing w:val="-1"/>
                <w:sz w:val="32"/>
                <w:szCs w:val="32"/>
              </w:rPr>
              <w:t>接入国家智慧教育平台数*</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88" w:line="218" w:lineRule="auto"/>
              <w:ind w:left="306"/>
              <w:jc w:val="both"/>
              <w:rPr>
                <w:rFonts w:hint="eastAsia" w:ascii="仿宋" w:hAnsi="仿宋" w:eastAsia="仿宋" w:cs="仿宋"/>
                <w:sz w:val="32"/>
                <w:szCs w:val="32"/>
              </w:rPr>
            </w:pPr>
            <w:r>
              <w:rPr>
                <w:rFonts w:hint="eastAsia" w:ascii="仿宋" w:hAnsi="仿宋" w:eastAsia="仿宋" w:cs="仿宋"/>
                <w:sz w:val="32"/>
                <w:szCs w:val="32"/>
              </w:rPr>
              <w:t>个</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98" w:line="218" w:lineRule="auto"/>
              <w:ind w:left="101"/>
              <w:jc w:val="both"/>
              <w:rPr>
                <w:rFonts w:hint="eastAsia" w:ascii="仿宋" w:hAnsi="仿宋" w:eastAsia="仿宋" w:cs="仿宋"/>
                <w:sz w:val="32"/>
                <w:szCs w:val="32"/>
              </w:rPr>
            </w:pPr>
            <w:r>
              <w:rPr>
                <w:rFonts w:hint="eastAsia" w:ascii="仿宋" w:hAnsi="仿宋" w:eastAsia="仿宋" w:cs="仿宋"/>
                <w:spacing w:val="2"/>
                <w:sz w:val="32"/>
                <w:szCs w:val="32"/>
              </w:rPr>
              <w:t>省级数量</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98" w:line="218" w:lineRule="auto"/>
              <w:ind w:left="306"/>
              <w:jc w:val="both"/>
              <w:rPr>
                <w:rFonts w:hint="eastAsia" w:ascii="仿宋" w:hAnsi="仿宋" w:eastAsia="仿宋" w:cs="仿宋"/>
                <w:sz w:val="32"/>
                <w:szCs w:val="32"/>
              </w:rPr>
            </w:pPr>
            <w:r>
              <w:rPr>
                <w:rFonts w:hint="eastAsia" w:ascii="仿宋" w:hAnsi="仿宋" w:eastAsia="仿宋" w:cs="仿宋"/>
                <w:sz w:val="32"/>
                <w:szCs w:val="32"/>
              </w:rPr>
              <w:t>个</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78" w:line="218" w:lineRule="auto"/>
              <w:ind w:left="1290"/>
              <w:jc w:val="both"/>
              <w:rPr>
                <w:rFonts w:hint="eastAsia" w:ascii="仿宋" w:hAnsi="仿宋" w:eastAsia="仿宋" w:cs="仿宋"/>
                <w:sz w:val="32"/>
                <w:szCs w:val="32"/>
              </w:rPr>
            </w:pPr>
            <w:r>
              <w:rPr>
                <w:rFonts w:hint="eastAsia" w:ascii="仿宋" w:hAnsi="仿宋" w:eastAsia="仿宋" w:cs="仿宋"/>
                <w:spacing w:val="-1"/>
                <w:sz w:val="32"/>
                <w:szCs w:val="32"/>
              </w:rPr>
              <w:t>接入国家智慧教育平台数*</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78" w:line="218" w:lineRule="auto"/>
              <w:ind w:left="306"/>
              <w:jc w:val="both"/>
              <w:rPr>
                <w:rFonts w:hint="eastAsia" w:ascii="仿宋" w:hAnsi="仿宋" w:eastAsia="仿宋" w:cs="仿宋"/>
                <w:sz w:val="32"/>
                <w:szCs w:val="32"/>
              </w:rPr>
            </w:pPr>
            <w:r>
              <w:rPr>
                <w:rFonts w:hint="eastAsia" w:ascii="仿宋" w:hAnsi="仿宋" w:eastAsia="仿宋" w:cs="仿宋"/>
                <w:sz w:val="32"/>
                <w:szCs w:val="32"/>
              </w:rPr>
              <w:t>个</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88" w:line="218" w:lineRule="auto"/>
              <w:ind w:left="101"/>
              <w:jc w:val="both"/>
              <w:rPr>
                <w:rFonts w:hint="eastAsia" w:ascii="仿宋" w:hAnsi="仿宋" w:eastAsia="仿宋" w:cs="仿宋"/>
                <w:sz w:val="32"/>
                <w:szCs w:val="32"/>
              </w:rPr>
            </w:pPr>
            <w:r>
              <w:rPr>
                <w:rFonts w:hint="eastAsia" w:ascii="仿宋" w:hAnsi="仿宋" w:eastAsia="仿宋" w:cs="仿宋"/>
                <w:spacing w:val="-2"/>
                <w:sz w:val="32"/>
                <w:szCs w:val="32"/>
              </w:rPr>
              <w:t>校级数量</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88" w:line="218" w:lineRule="auto"/>
              <w:ind w:left="306"/>
              <w:jc w:val="both"/>
              <w:rPr>
                <w:rFonts w:hint="eastAsia" w:ascii="仿宋" w:hAnsi="仿宋" w:eastAsia="仿宋" w:cs="仿宋"/>
                <w:sz w:val="32"/>
                <w:szCs w:val="32"/>
              </w:rPr>
            </w:pPr>
            <w:r>
              <w:rPr>
                <w:rFonts w:hint="eastAsia" w:ascii="仿宋" w:hAnsi="仿宋" w:eastAsia="仿宋" w:cs="仿宋"/>
                <w:sz w:val="32"/>
                <w:szCs w:val="32"/>
              </w:rPr>
              <w:t>个</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4</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734" w:type="dxa"/>
            <w:vMerge w:val="continue"/>
            <w:tcBorders>
              <w:top w:val="nil"/>
              <w:left w:val="single" w:color="000000" w:sz="4" w:space="0"/>
              <w:bottom w:val="single" w:color="000000" w:sz="4" w:space="0"/>
              <w:right w:val="single" w:color="000000" w:sz="4" w:space="0"/>
            </w:tcBorders>
            <w:noWrap/>
          </w:tcPr>
          <w:p>
            <w:pPr>
              <w:rPr>
                <w:rFonts w:hint="eastAsia" w:ascii="仿宋" w:hAnsi="仿宋" w:eastAsia="仿宋" w:cs="仿宋"/>
                <w:sz w:val="32"/>
                <w:szCs w:val="32"/>
              </w:rPr>
            </w:pP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179" w:line="218" w:lineRule="auto"/>
              <w:ind w:left="1300"/>
              <w:jc w:val="both"/>
              <w:rPr>
                <w:rFonts w:hint="eastAsia" w:ascii="仿宋" w:hAnsi="仿宋" w:eastAsia="仿宋" w:cs="仿宋"/>
                <w:sz w:val="32"/>
                <w:szCs w:val="32"/>
              </w:rPr>
            </w:pPr>
            <w:r>
              <w:rPr>
                <w:rFonts w:hint="eastAsia" w:ascii="仿宋" w:hAnsi="仿宋" w:eastAsia="仿宋" w:cs="仿宋"/>
                <w:spacing w:val="-1"/>
                <w:sz w:val="32"/>
                <w:szCs w:val="32"/>
              </w:rPr>
              <w:t>接入国家智慧教育平台数*</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179" w:line="218" w:lineRule="auto"/>
              <w:ind w:left="306"/>
              <w:jc w:val="both"/>
              <w:rPr>
                <w:rFonts w:hint="eastAsia" w:ascii="仿宋" w:hAnsi="仿宋" w:eastAsia="仿宋" w:cs="仿宋"/>
                <w:sz w:val="32"/>
                <w:szCs w:val="32"/>
              </w:rPr>
            </w:pPr>
            <w:r>
              <w:rPr>
                <w:rFonts w:hint="eastAsia" w:ascii="仿宋" w:hAnsi="仿宋" w:eastAsia="仿宋" w:cs="仿宋"/>
                <w:sz w:val="32"/>
                <w:szCs w:val="32"/>
              </w:rPr>
              <w:t>个</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734" w:type="dxa"/>
            <w:vMerge w:val="restart"/>
            <w:tcBorders>
              <w:top w:val="single" w:color="000000" w:sz="4" w:space="0"/>
              <w:left w:val="single" w:color="000000" w:sz="4" w:space="0"/>
              <w:bottom w:val="nil"/>
              <w:right w:val="single" w:color="000000" w:sz="4" w:space="0"/>
            </w:tcBorders>
            <w:noWrap/>
          </w:tcPr>
          <w:p>
            <w:pPr>
              <w:spacing w:line="288" w:lineRule="auto"/>
              <w:jc w:val="both"/>
              <w:rPr>
                <w:rFonts w:hint="eastAsia" w:ascii="仿宋" w:hAnsi="仿宋" w:eastAsia="仿宋" w:cs="仿宋"/>
                <w:sz w:val="32"/>
                <w:szCs w:val="32"/>
              </w:rPr>
            </w:pPr>
          </w:p>
          <w:p>
            <w:pPr>
              <w:spacing w:line="290" w:lineRule="auto"/>
              <w:jc w:val="both"/>
              <w:rPr>
                <w:rFonts w:hint="eastAsia" w:ascii="仿宋" w:hAnsi="仿宋" w:eastAsia="仿宋" w:cs="仿宋"/>
                <w:sz w:val="32"/>
                <w:szCs w:val="32"/>
              </w:rPr>
            </w:pPr>
          </w:p>
          <w:p>
            <w:pPr>
              <w:spacing w:line="290" w:lineRule="auto"/>
              <w:jc w:val="both"/>
              <w:rPr>
                <w:rFonts w:hint="eastAsia" w:ascii="仿宋" w:hAnsi="仿宋" w:eastAsia="仿宋" w:cs="仿宋"/>
                <w:sz w:val="32"/>
                <w:szCs w:val="32"/>
              </w:rPr>
            </w:pPr>
          </w:p>
          <w:p>
            <w:pPr>
              <w:pStyle w:val="38"/>
              <w:spacing w:before="78" w:line="182" w:lineRule="auto"/>
              <w:ind w:left="295"/>
              <w:jc w:val="both"/>
              <w:rPr>
                <w:rFonts w:hint="eastAsia" w:ascii="仿宋" w:hAnsi="仿宋" w:eastAsia="仿宋" w:cs="仿宋"/>
                <w:sz w:val="32"/>
                <w:szCs w:val="32"/>
              </w:rPr>
            </w:pPr>
            <w:r>
              <w:rPr>
                <w:rFonts w:hint="eastAsia" w:ascii="仿宋" w:hAnsi="仿宋" w:eastAsia="仿宋" w:cs="仿宋"/>
                <w:sz w:val="32"/>
                <w:szCs w:val="32"/>
              </w:rPr>
              <w:t>9</w:t>
            </w: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79" w:line="218" w:lineRule="auto"/>
              <w:ind w:left="111"/>
              <w:jc w:val="both"/>
              <w:rPr>
                <w:rFonts w:hint="eastAsia" w:ascii="仿宋" w:hAnsi="仿宋" w:eastAsia="仿宋" w:cs="仿宋"/>
                <w:sz w:val="32"/>
                <w:szCs w:val="32"/>
              </w:rPr>
            </w:pPr>
            <w:r>
              <w:rPr>
                <w:rFonts w:hint="eastAsia" w:ascii="仿宋" w:hAnsi="仿宋" w:eastAsia="仿宋" w:cs="仿宋"/>
                <w:spacing w:val="2"/>
                <w:sz w:val="32"/>
                <w:szCs w:val="32"/>
              </w:rPr>
              <w:t>编写教材数</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79" w:line="218" w:lineRule="auto"/>
              <w:ind w:left="296"/>
              <w:jc w:val="both"/>
              <w:rPr>
                <w:rFonts w:hint="eastAsia" w:ascii="仿宋" w:hAnsi="仿宋" w:eastAsia="仿宋" w:cs="仿宋"/>
                <w:sz w:val="32"/>
                <w:szCs w:val="32"/>
              </w:rPr>
            </w:pPr>
            <w:r>
              <w:rPr>
                <w:rFonts w:hint="eastAsia" w:ascii="仿宋" w:hAnsi="仿宋" w:eastAsia="仿宋" w:cs="仿宋"/>
                <w:sz w:val="32"/>
                <w:szCs w:val="32"/>
              </w:rPr>
              <w:t>本</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80" w:line="218" w:lineRule="auto"/>
              <w:ind w:left="111"/>
              <w:jc w:val="both"/>
              <w:rPr>
                <w:rFonts w:hint="eastAsia" w:ascii="仿宋" w:hAnsi="仿宋" w:eastAsia="仿宋" w:cs="仿宋"/>
                <w:sz w:val="32"/>
                <w:szCs w:val="32"/>
              </w:rPr>
            </w:pPr>
            <w:r>
              <w:rPr>
                <w:rFonts w:hint="eastAsia" w:ascii="仿宋" w:hAnsi="仿宋" w:eastAsia="仿宋" w:cs="仿宋"/>
                <w:spacing w:val="-1"/>
                <w:sz w:val="32"/>
                <w:szCs w:val="32"/>
              </w:rPr>
              <w:t>其中：国家规划教材数*</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80" w:line="218" w:lineRule="auto"/>
              <w:ind w:left="296"/>
              <w:jc w:val="both"/>
              <w:rPr>
                <w:rFonts w:hint="eastAsia" w:ascii="仿宋" w:hAnsi="仿宋" w:eastAsia="仿宋" w:cs="仿宋"/>
                <w:sz w:val="32"/>
                <w:szCs w:val="32"/>
              </w:rPr>
            </w:pPr>
            <w:r>
              <w:rPr>
                <w:rFonts w:hint="eastAsia" w:ascii="仿宋" w:hAnsi="仿宋" w:eastAsia="仿宋" w:cs="仿宋"/>
                <w:sz w:val="32"/>
                <w:szCs w:val="32"/>
              </w:rPr>
              <w:t>本</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81" w:line="218" w:lineRule="auto"/>
              <w:ind w:left="111"/>
              <w:jc w:val="both"/>
              <w:rPr>
                <w:rFonts w:hint="eastAsia" w:ascii="仿宋" w:hAnsi="仿宋" w:eastAsia="仿宋" w:cs="仿宋"/>
                <w:sz w:val="32"/>
                <w:szCs w:val="32"/>
              </w:rPr>
            </w:pPr>
            <w:r>
              <w:rPr>
                <w:rFonts w:hint="eastAsia" w:ascii="仿宋" w:hAnsi="仿宋" w:eastAsia="仿宋" w:cs="仿宋"/>
                <w:spacing w:val="1"/>
                <w:sz w:val="32"/>
                <w:szCs w:val="32"/>
              </w:rPr>
              <w:t>校企合作编写教材数</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81" w:line="218" w:lineRule="auto"/>
              <w:ind w:left="296"/>
              <w:jc w:val="both"/>
              <w:rPr>
                <w:rFonts w:hint="eastAsia" w:ascii="仿宋" w:hAnsi="仿宋" w:eastAsia="仿宋" w:cs="仿宋"/>
                <w:sz w:val="32"/>
                <w:szCs w:val="32"/>
              </w:rPr>
            </w:pPr>
            <w:r>
              <w:rPr>
                <w:rFonts w:hint="eastAsia" w:ascii="仿宋" w:hAnsi="仿宋" w:eastAsia="仿宋" w:cs="仿宋"/>
                <w:sz w:val="32"/>
                <w:szCs w:val="32"/>
              </w:rPr>
              <w:t>本</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82" w:line="218" w:lineRule="auto"/>
              <w:ind w:left="111"/>
              <w:jc w:val="both"/>
              <w:rPr>
                <w:rFonts w:hint="eastAsia" w:ascii="仿宋" w:hAnsi="仿宋" w:eastAsia="仿宋" w:cs="仿宋"/>
                <w:sz w:val="32"/>
                <w:szCs w:val="32"/>
              </w:rPr>
            </w:pPr>
            <w:r>
              <w:rPr>
                <w:rFonts w:hint="eastAsia" w:ascii="仿宋" w:hAnsi="仿宋" w:eastAsia="仿宋" w:cs="仿宋"/>
                <w:spacing w:val="1"/>
                <w:sz w:val="32"/>
                <w:szCs w:val="32"/>
              </w:rPr>
              <w:t>新形态教材数</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82" w:line="218" w:lineRule="auto"/>
              <w:ind w:left="296"/>
              <w:jc w:val="both"/>
              <w:rPr>
                <w:rFonts w:hint="eastAsia" w:ascii="仿宋" w:hAnsi="仿宋" w:eastAsia="仿宋" w:cs="仿宋"/>
                <w:sz w:val="32"/>
                <w:szCs w:val="32"/>
              </w:rPr>
            </w:pPr>
            <w:r>
              <w:rPr>
                <w:rFonts w:hint="eastAsia" w:ascii="仿宋" w:hAnsi="仿宋" w:eastAsia="仿宋" w:cs="仿宋"/>
                <w:sz w:val="32"/>
                <w:szCs w:val="32"/>
              </w:rPr>
              <w:t>本</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734" w:type="dxa"/>
            <w:vMerge w:val="continue"/>
            <w:tcBorders>
              <w:top w:val="nil"/>
              <w:left w:val="single" w:color="000000" w:sz="4" w:space="0"/>
              <w:bottom w:val="single" w:color="000000" w:sz="4" w:space="0"/>
              <w:right w:val="single" w:color="000000" w:sz="4" w:space="0"/>
            </w:tcBorders>
            <w:noWrap/>
          </w:tcPr>
          <w:p>
            <w:pPr>
              <w:rPr>
                <w:rFonts w:hint="eastAsia" w:ascii="仿宋" w:hAnsi="仿宋" w:eastAsia="仿宋" w:cs="仿宋"/>
                <w:sz w:val="32"/>
                <w:szCs w:val="32"/>
              </w:rPr>
            </w:pP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85" w:line="218" w:lineRule="auto"/>
              <w:ind w:left="820"/>
              <w:jc w:val="both"/>
              <w:rPr>
                <w:rFonts w:hint="eastAsia" w:ascii="仿宋" w:hAnsi="仿宋" w:eastAsia="仿宋" w:cs="仿宋"/>
                <w:sz w:val="32"/>
                <w:szCs w:val="32"/>
              </w:rPr>
            </w:pPr>
            <w:r>
              <w:rPr>
                <w:rFonts w:hint="eastAsia" w:ascii="仿宋" w:hAnsi="仿宋" w:eastAsia="仿宋" w:cs="仿宋"/>
                <w:spacing w:val="-1"/>
                <w:sz w:val="32"/>
                <w:szCs w:val="32"/>
              </w:rPr>
              <w:t>接入国家智慧教育平台数*</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83" w:line="218" w:lineRule="auto"/>
              <w:ind w:left="296"/>
              <w:jc w:val="both"/>
              <w:rPr>
                <w:rFonts w:hint="eastAsia" w:ascii="仿宋" w:hAnsi="仿宋" w:eastAsia="仿宋" w:cs="仿宋"/>
                <w:sz w:val="32"/>
                <w:szCs w:val="32"/>
              </w:rPr>
            </w:pPr>
            <w:r>
              <w:rPr>
                <w:rFonts w:hint="eastAsia" w:ascii="仿宋" w:hAnsi="仿宋" w:eastAsia="仿宋" w:cs="仿宋"/>
                <w:sz w:val="32"/>
                <w:szCs w:val="32"/>
              </w:rPr>
              <w:t>本</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734" w:type="dxa"/>
            <w:tcBorders>
              <w:top w:val="single" w:color="000000" w:sz="4" w:space="0"/>
              <w:left w:val="single" w:color="000000" w:sz="4" w:space="0"/>
              <w:bottom w:val="single" w:color="000000" w:sz="4" w:space="0"/>
              <w:right w:val="single" w:color="000000" w:sz="4" w:space="0"/>
            </w:tcBorders>
            <w:noWrap/>
          </w:tcPr>
          <w:p>
            <w:pPr>
              <w:pStyle w:val="38"/>
              <w:spacing w:before="146" w:line="180" w:lineRule="auto"/>
              <w:ind w:left="234"/>
              <w:jc w:val="both"/>
              <w:rPr>
                <w:rFonts w:hint="eastAsia" w:ascii="仿宋" w:hAnsi="仿宋" w:eastAsia="仿宋" w:cs="仿宋"/>
                <w:sz w:val="32"/>
                <w:szCs w:val="32"/>
              </w:rPr>
            </w:pPr>
            <w:r>
              <w:rPr>
                <w:rFonts w:hint="eastAsia" w:ascii="仿宋" w:hAnsi="仿宋" w:eastAsia="仿宋" w:cs="仿宋"/>
                <w:spacing w:val="-7"/>
                <w:sz w:val="32"/>
                <w:szCs w:val="32"/>
              </w:rPr>
              <w:t>10</w:t>
            </w: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86" w:line="218" w:lineRule="auto"/>
              <w:ind w:left="111"/>
              <w:jc w:val="both"/>
              <w:rPr>
                <w:rFonts w:hint="eastAsia" w:ascii="仿宋" w:hAnsi="仿宋" w:eastAsia="仿宋" w:cs="仿宋"/>
                <w:sz w:val="32"/>
                <w:szCs w:val="32"/>
              </w:rPr>
            </w:pPr>
            <w:r>
              <w:rPr>
                <w:rFonts w:hint="eastAsia" w:ascii="仿宋" w:hAnsi="仿宋" w:eastAsia="仿宋" w:cs="仿宋"/>
                <w:spacing w:val="1"/>
                <w:sz w:val="32"/>
                <w:szCs w:val="32"/>
              </w:rPr>
              <w:t>互联网出口带宽*</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79" w:line="214" w:lineRule="auto"/>
              <w:ind w:left="177"/>
              <w:jc w:val="both"/>
              <w:rPr>
                <w:rFonts w:hint="eastAsia" w:ascii="仿宋" w:hAnsi="仿宋" w:eastAsia="仿宋" w:cs="仿宋"/>
                <w:sz w:val="32"/>
                <w:szCs w:val="32"/>
              </w:rPr>
            </w:pPr>
            <w:r>
              <w:rPr>
                <w:rFonts w:hint="eastAsia" w:ascii="仿宋" w:hAnsi="仿宋" w:eastAsia="仿宋" w:cs="仿宋"/>
                <w:spacing w:val="-1"/>
                <w:sz w:val="32"/>
                <w:szCs w:val="32"/>
              </w:rPr>
              <w:t>Mbps</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100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734" w:type="dxa"/>
            <w:tcBorders>
              <w:top w:val="single" w:color="000000" w:sz="4" w:space="0"/>
              <w:left w:val="single" w:color="000000" w:sz="4" w:space="0"/>
              <w:bottom w:val="single" w:color="000000" w:sz="4" w:space="0"/>
              <w:right w:val="single" w:color="000000" w:sz="4" w:space="0"/>
            </w:tcBorders>
            <w:noWrap/>
          </w:tcPr>
          <w:p>
            <w:pPr>
              <w:pStyle w:val="38"/>
              <w:spacing w:before="147" w:line="185" w:lineRule="auto"/>
              <w:ind w:left="234"/>
              <w:jc w:val="both"/>
              <w:rPr>
                <w:rFonts w:hint="eastAsia" w:ascii="仿宋" w:hAnsi="仿宋" w:eastAsia="仿宋" w:cs="仿宋"/>
                <w:sz w:val="32"/>
                <w:szCs w:val="32"/>
              </w:rPr>
            </w:pPr>
            <w:r>
              <w:rPr>
                <w:rFonts w:hint="eastAsia" w:ascii="仿宋" w:hAnsi="仿宋" w:eastAsia="仿宋" w:cs="仿宋"/>
                <w:spacing w:val="-7"/>
                <w:sz w:val="32"/>
                <w:szCs w:val="32"/>
              </w:rPr>
              <w:t>11</w:t>
            </w: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85" w:line="218" w:lineRule="auto"/>
              <w:ind w:left="111"/>
              <w:jc w:val="both"/>
              <w:rPr>
                <w:rFonts w:hint="eastAsia" w:ascii="仿宋" w:hAnsi="仿宋" w:eastAsia="仿宋" w:cs="仿宋"/>
                <w:sz w:val="32"/>
                <w:szCs w:val="32"/>
              </w:rPr>
            </w:pPr>
            <w:r>
              <w:rPr>
                <w:rFonts w:hint="eastAsia" w:ascii="仿宋" w:hAnsi="仿宋" w:eastAsia="仿宋" w:cs="仿宋"/>
                <w:spacing w:val="-1"/>
                <w:sz w:val="32"/>
                <w:szCs w:val="32"/>
              </w:rPr>
              <w:t>校园网主干最大带宽*</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80" w:line="214" w:lineRule="auto"/>
              <w:ind w:left="177"/>
              <w:jc w:val="both"/>
              <w:rPr>
                <w:rFonts w:hint="eastAsia" w:ascii="仿宋" w:hAnsi="仿宋" w:eastAsia="仿宋" w:cs="仿宋"/>
                <w:sz w:val="32"/>
                <w:szCs w:val="32"/>
              </w:rPr>
            </w:pPr>
            <w:r>
              <w:rPr>
                <w:rFonts w:hint="eastAsia" w:ascii="仿宋" w:hAnsi="仿宋" w:eastAsia="仿宋" w:cs="仿宋"/>
                <w:spacing w:val="-1"/>
                <w:sz w:val="32"/>
                <w:szCs w:val="32"/>
              </w:rPr>
              <w:t>Mbps</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100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734" w:type="dxa"/>
            <w:tcBorders>
              <w:top w:val="single" w:color="000000" w:sz="4" w:space="0"/>
              <w:left w:val="single" w:color="000000" w:sz="4" w:space="0"/>
              <w:bottom w:val="single" w:color="000000" w:sz="4" w:space="0"/>
              <w:right w:val="single" w:color="000000" w:sz="4" w:space="0"/>
            </w:tcBorders>
            <w:noWrap/>
          </w:tcPr>
          <w:p>
            <w:pPr>
              <w:pStyle w:val="38"/>
              <w:spacing w:before="148" w:line="185" w:lineRule="auto"/>
              <w:ind w:left="234"/>
              <w:jc w:val="both"/>
              <w:rPr>
                <w:rFonts w:hint="eastAsia" w:ascii="仿宋" w:hAnsi="仿宋" w:eastAsia="仿宋" w:cs="仿宋"/>
                <w:sz w:val="32"/>
                <w:szCs w:val="32"/>
              </w:rPr>
            </w:pPr>
            <w:r>
              <w:rPr>
                <w:rFonts w:hint="eastAsia" w:ascii="仿宋" w:hAnsi="仿宋" w:eastAsia="仿宋" w:cs="仿宋"/>
                <w:spacing w:val="-7"/>
                <w:sz w:val="32"/>
                <w:szCs w:val="32"/>
              </w:rPr>
              <w:t>12</w:t>
            </w: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88" w:line="218" w:lineRule="auto"/>
              <w:ind w:left="111"/>
              <w:jc w:val="both"/>
              <w:rPr>
                <w:rFonts w:hint="eastAsia" w:ascii="仿宋" w:hAnsi="仿宋" w:eastAsia="仿宋" w:cs="仿宋"/>
                <w:sz w:val="32"/>
                <w:szCs w:val="32"/>
              </w:rPr>
            </w:pPr>
            <w:r>
              <w:rPr>
                <w:rFonts w:hint="eastAsia" w:ascii="仿宋" w:hAnsi="仿宋" w:eastAsia="仿宋" w:cs="仿宋"/>
                <w:sz w:val="32"/>
                <w:szCs w:val="32"/>
              </w:rPr>
              <w:t>生均校内实践教学工位数*</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88" w:line="218" w:lineRule="auto"/>
              <w:ind w:left="116"/>
              <w:jc w:val="both"/>
              <w:rPr>
                <w:rFonts w:hint="eastAsia" w:ascii="仿宋" w:hAnsi="仿宋" w:eastAsia="仿宋" w:cs="仿宋"/>
                <w:sz w:val="32"/>
                <w:szCs w:val="32"/>
              </w:rPr>
            </w:pPr>
            <w:r>
              <w:rPr>
                <w:rFonts w:hint="eastAsia" w:ascii="仿宋" w:hAnsi="仿宋" w:eastAsia="仿宋" w:cs="仿宋"/>
                <w:spacing w:val="3"/>
                <w:sz w:val="32"/>
                <w:szCs w:val="32"/>
              </w:rPr>
              <w:t>个/生</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0.67</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34" w:type="dxa"/>
            <w:tcBorders>
              <w:top w:val="single" w:color="000000" w:sz="4" w:space="0"/>
              <w:left w:val="single" w:color="000000" w:sz="4" w:space="0"/>
              <w:bottom w:val="single" w:color="000000" w:sz="4" w:space="0"/>
              <w:right w:val="single" w:color="000000" w:sz="4" w:space="0"/>
            </w:tcBorders>
            <w:noWrap/>
          </w:tcPr>
          <w:p>
            <w:pPr>
              <w:pStyle w:val="38"/>
              <w:spacing w:before="160" w:line="185" w:lineRule="auto"/>
              <w:ind w:left="234"/>
              <w:jc w:val="both"/>
              <w:rPr>
                <w:rFonts w:hint="eastAsia" w:ascii="仿宋" w:hAnsi="仿宋" w:eastAsia="仿宋" w:cs="仿宋"/>
                <w:sz w:val="32"/>
                <w:szCs w:val="32"/>
              </w:rPr>
            </w:pPr>
            <w:r>
              <w:rPr>
                <w:rFonts w:hint="eastAsia" w:ascii="仿宋" w:hAnsi="仿宋" w:eastAsia="仿宋" w:cs="仿宋"/>
                <w:spacing w:val="-7"/>
                <w:sz w:val="32"/>
                <w:szCs w:val="32"/>
              </w:rPr>
              <w:t>13</w:t>
            </w:r>
          </w:p>
        </w:tc>
        <w:tc>
          <w:tcPr>
            <w:tcW w:w="4814" w:type="dxa"/>
            <w:tcBorders>
              <w:top w:val="single" w:color="000000" w:sz="4" w:space="0"/>
              <w:left w:val="single" w:color="000000" w:sz="4" w:space="0"/>
              <w:bottom w:val="single" w:color="000000" w:sz="4" w:space="0"/>
              <w:right w:val="single" w:color="000000" w:sz="4" w:space="0"/>
            </w:tcBorders>
            <w:noWrap/>
          </w:tcPr>
          <w:p>
            <w:pPr>
              <w:pStyle w:val="38"/>
              <w:spacing w:before="98" w:line="218" w:lineRule="auto"/>
              <w:ind w:left="111"/>
              <w:jc w:val="both"/>
              <w:rPr>
                <w:rFonts w:hint="eastAsia" w:ascii="仿宋" w:hAnsi="仿宋" w:eastAsia="仿宋" w:cs="仿宋"/>
                <w:sz w:val="32"/>
                <w:szCs w:val="32"/>
              </w:rPr>
            </w:pPr>
            <w:r>
              <w:rPr>
                <w:rFonts w:hint="eastAsia" w:ascii="仿宋" w:hAnsi="仿宋" w:eastAsia="仿宋" w:cs="仿宋"/>
                <w:sz w:val="32"/>
                <w:szCs w:val="32"/>
              </w:rPr>
              <w:t>生均教学科研仪器设备值*</w:t>
            </w:r>
          </w:p>
        </w:tc>
        <w:tc>
          <w:tcPr>
            <w:tcW w:w="859" w:type="dxa"/>
            <w:tcBorders>
              <w:top w:val="single" w:color="000000" w:sz="4" w:space="0"/>
              <w:left w:val="single" w:color="000000" w:sz="4" w:space="0"/>
              <w:bottom w:val="single" w:color="000000" w:sz="4" w:space="0"/>
              <w:right w:val="single" w:color="000000" w:sz="4" w:space="0"/>
            </w:tcBorders>
            <w:noWrap/>
          </w:tcPr>
          <w:p>
            <w:pPr>
              <w:pStyle w:val="38"/>
              <w:spacing w:before="100" w:line="221" w:lineRule="auto"/>
              <w:ind w:left="116"/>
              <w:jc w:val="both"/>
              <w:rPr>
                <w:rFonts w:hint="eastAsia" w:ascii="仿宋" w:hAnsi="仿宋" w:eastAsia="仿宋" w:cs="仿宋"/>
                <w:sz w:val="32"/>
                <w:szCs w:val="32"/>
              </w:rPr>
            </w:pPr>
            <w:r>
              <w:rPr>
                <w:rFonts w:hint="eastAsia" w:ascii="仿宋" w:hAnsi="仿宋" w:eastAsia="仿宋" w:cs="仿宋"/>
                <w:spacing w:val="3"/>
                <w:sz w:val="32"/>
                <w:szCs w:val="32"/>
              </w:rPr>
              <w:t>元/生</w:t>
            </w:r>
          </w:p>
        </w:tc>
        <w:tc>
          <w:tcPr>
            <w:tcW w:w="1078"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9900</w:t>
            </w:r>
          </w:p>
        </w:tc>
        <w:tc>
          <w:tcPr>
            <w:tcW w:w="98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10900</w:t>
            </w:r>
          </w:p>
        </w:tc>
      </w:tr>
    </w:tbl>
    <w:p>
      <w:pPr>
        <w:pStyle w:val="3"/>
        <w:rPr>
          <w:rFonts w:hint="eastAsia"/>
          <w:lang w:val="en-US" w:eastAsia="zh-CN"/>
        </w:rPr>
      </w:pPr>
    </w:p>
    <w:p>
      <w:pPr>
        <w:rPr>
          <w:rFonts w:hint="eastAsia"/>
          <w:lang w:val="en-US" w:eastAsia="zh-CN"/>
        </w:rPr>
      </w:pPr>
    </w:p>
    <w:p>
      <w:pPr>
        <w:pStyle w:val="2"/>
        <w:rPr>
          <w:rFonts w:hint="eastAsia"/>
          <w:lang w:val="en-US" w:eastAsia="zh-CN"/>
        </w:rPr>
      </w:pPr>
    </w:p>
    <w:p>
      <w:pPr>
        <w:pStyle w:val="3"/>
        <w:rPr>
          <w:rFonts w:hint="eastAsia"/>
          <w:lang w:val="en-US" w:eastAsia="zh-CN"/>
        </w:rPr>
      </w:pPr>
    </w:p>
    <w:p>
      <w:pPr>
        <w:rPr>
          <w:rFonts w:hint="eastAsia"/>
          <w:lang w:val="en-US" w:eastAsia="zh-CN"/>
        </w:rPr>
      </w:pPr>
    </w:p>
    <w:p>
      <w:pPr>
        <w:pStyle w:val="2"/>
        <w:rPr>
          <w:rFonts w:hint="eastAsia"/>
          <w:lang w:val="en-US" w:eastAsia="zh-CN"/>
        </w:rPr>
      </w:pPr>
    </w:p>
    <w:p>
      <w:pPr>
        <w:pStyle w:val="3"/>
        <w:rPr>
          <w:rFonts w:hint="eastAsia"/>
          <w:lang w:val="en-US" w:eastAsia="zh-CN"/>
        </w:rPr>
      </w:pPr>
    </w:p>
    <w:p>
      <w:pPr>
        <w:rPr>
          <w:rFonts w:hint="eastAsia"/>
          <w:lang w:val="en-US" w:eastAsia="zh-CN"/>
        </w:rPr>
      </w:pPr>
    </w:p>
    <w:p>
      <w:pPr>
        <w:pStyle w:val="2"/>
        <w:rPr>
          <w:rFonts w:hint="eastAsia"/>
          <w:lang w:val="en-US" w:eastAsia="zh-CN"/>
        </w:rPr>
      </w:pPr>
    </w:p>
    <w:p>
      <w:pPr>
        <w:pStyle w:val="3"/>
        <w:rPr>
          <w:rFonts w:hint="eastAsia"/>
          <w:lang w:val="en-US" w:eastAsia="zh-CN"/>
        </w:rPr>
      </w:pPr>
    </w:p>
    <w:p>
      <w:pPr>
        <w:spacing w:before="1" w:line="221" w:lineRule="auto"/>
        <w:ind w:left="3374"/>
        <w:jc w:val="both"/>
        <w:rPr>
          <w:rFonts w:hint="eastAsia" w:ascii="仿宋" w:hAnsi="仿宋" w:eastAsia="仿宋" w:cs="仿宋"/>
          <w:sz w:val="32"/>
          <w:szCs w:val="32"/>
        </w:rPr>
      </w:pPr>
      <w:r>
        <w:rPr>
          <w:rFonts w:hint="eastAsia" w:ascii="仿宋" w:hAnsi="仿宋" w:eastAsia="仿宋" w:cs="仿宋"/>
          <w:b/>
          <w:bCs/>
          <w:spacing w:val="7"/>
          <w:sz w:val="32"/>
          <w:szCs w:val="32"/>
        </w:rPr>
        <w:t>表</w:t>
      </w:r>
      <w:r>
        <w:rPr>
          <w:rFonts w:hint="default" w:ascii="仿宋" w:hAnsi="仿宋" w:eastAsia="仿宋" w:cs="仿宋"/>
          <w:b/>
          <w:bCs/>
          <w:spacing w:val="7"/>
          <w:sz w:val="32"/>
          <w:szCs w:val="32"/>
          <w:lang w:val="en-US"/>
        </w:rPr>
        <w:t>3</w:t>
      </w:r>
      <w:r>
        <w:rPr>
          <w:rFonts w:hint="eastAsia" w:ascii="仿宋" w:hAnsi="仿宋" w:eastAsia="仿宋" w:cs="仿宋"/>
          <w:b/>
          <w:bCs/>
          <w:spacing w:val="7"/>
          <w:sz w:val="32"/>
          <w:szCs w:val="32"/>
        </w:rPr>
        <w:t>服务贡献表</w:t>
      </w:r>
    </w:p>
    <w:p>
      <w:pPr>
        <w:spacing w:line="106" w:lineRule="exact"/>
        <w:jc w:val="both"/>
        <w:rPr>
          <w:rFonts w:hint="eastAsia" w:ascii="仿宋" w:hAnsi="仿宋" w:eastAsia="仿宋" w:cs="仿宋"/>
          <w:sz w:val="32"/>
          <w:szCs w:val="32"/>
        </w:rPr>
      </w:pPr>
    </w:p>
    <w:tbl>
      <w:tblPr>
        <w:tblStyle w:val="25"/>
        <w:tblW w:w="8340" w:type="dxa"/>
        <w:tblInd w:w="2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4"/>
        <w:gridCol w:w="4754"/>
        <w:gridCol w:w="779"/>
        <w:gridCol w:w="1049"/>
        <w:gridCol w:w="10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44" w:type="dxa"/>
            <w:tcBorders>
              <w:top w:val="single" w:color="000000" w:sz="4" w:space="0"/>
              <w:left w:val="single" w:color="000000" w:sz="4" w:space="0"/>
              <w:bottom w:val="single" w:color="000000" w:sz="4" w:space="0"/>
              <w:right w:val="single" w:color="000000" w:sz="4" w:space="0"/>
            </w:tcBorders>
            <w:noWrap/>
          </w:tcPr>
          <w:p>
            <w:pPr>
              <w:pStyle w:val="38"/>
              <w:spacing w:before="92" w:line="221" w:lineRule="auto"/>
              <w:ind w:left="128"/>
              <w:jc w:val="both"/>
              <w:rPr>
                <w:rFonts w:hint="eastAsia" w:ascii="仿宋" w:hAnsi="仿宋" w:eastAsia="仿宋" w:cs="仿宋"/>
                <w:sz w:val="32"/>
                <w:szCs w:val="32"/>
              </w:rPr>
            </w:pPr>
            <w:r>
              <w:rPr>
                <w:rFonts w:hint="eastAsia" w:ascii="仿宋" w:hAnsi="仿宋" w:eastAsia="仿宋" w:cs="仿宋"/>
                <w:b/>
                <w:bCs/>
                <w:spacing w:val="-5"/>
                <w:sz w:val="32"/>
                <w:szCs w:val="32"/>
              </w:rPr>
              <w:t>序号</w:t>
            </w:r>
          </w:p>
        </w:tc>
        <w:tc>
          <w:tcPr>
            <w:tcW w:w="4754" w:type="dxa"/>
            <w:tcBorders>
              <w:top w:val="single" w:color="000000" w:sz="4" w:space="0"/>
              <w:left w:val="single" w:color="000000" w:sz="4" w:space="0"/>
              <w:bottom w:val="single" w:color="000000" w:sz="4" w:space="0"/>
              <w:right w:val="single" w:color="000000" w:sz="4" w:space="0"/>
            </w:tcBorders>
            <w:noWrap/>
          </w:tcPr>
          <w:p>
            <w:pPr>
              <w:pStyle w:val="38"/>
              <w:spacing w:before="92" w:line="221" w:lineRule="auto"/>
              <w:ind w:left="2114"/>
              <w:jc w:val="both"/>
              <w:rPr>
                <w:rFonts w:hint="eastAsia" w:ascii="仿宋" w:hAnsi="仿宋" w:eastAsia="仿宋" w:cs="仿宋"/>
                <w:sz w:val="32"/>
                <w:szCs w:val="32"/>
              </w:rPr>
            </w:pPr>
            <w:r>
              <w:rPr>
                <w:rFonts w:hint="eastAsia" w:ascii="仿宋" w:hAnsi="仿宋" w:eastAsia="仿宋" w:cs="仿宋"/>
                <w:b/>
                <w:bCs/>
                <w:spacing w:val="-6"/>
                <w:sz w:val="32"/>
                <w:szCs w:val="32"/>
              </w:rPr>
              <w:t>指标</w:t>
            </w:r>
          </w:p>
        </w:tc>
        <w:tc>
          <w:tcPr>
            <w:tcW w:w="779" w:type="dxa"/>
            <w:tcBorders>
              <w:top w:val="single" w:color="000000" w:sz="4" w:space="0"/>
              <w:left w:val="single" w:color="000000" w:sz="4" w:space="0"/>
              <w:bottom w:val="single" w:color="000000" w:sz="4" w:space="0"/>
              <w:right w:val="single" w:color="000000" w:sz="4" w:space="0"/>
            </w:tcBorders>
            <w:noWrap/>
          </w:tcPr>
          <w:p>
            <w:pPr>
              <w:pStyle w:val="38"/>
              <w:spacing w:before="92" w:line="221" w:lineRule="auto"/>
              <w:ind w:left="150"/>
              <w:jc w:val="both"/>
              <w:rPr>
                <w:rFonts w:hint="eastAsia" w:ascii="仿宋" w:hAnsi="仿宋" w:eastAsia="仿宋" w:cs="仿宋"/>
                <w:sz w:val="32"/>
                <w:szCs w:val="32"/>
              </w:rPr>
            </w:pPr>
            <w:r>
              <w:rPr>
                <w:rFonts w:hint="eastAsia" w:ascii="仿宋" w:hAnsi="仿宋" w:eastAsia="仿宋" w:cs="仿宋"/>
                <w:b/>
                <w:bCs/>
                <w:spacing w:val="-6"/>
                <w:sz w:val="32"/>
                <w:szCs w:val="32"/>
              </w:rPr>
              <w:t>单位</w:t>
            </w:r>
          </w:p>
        </w:tc>
        <w:tc>
          <w:tcPr>
            <w:tcW w:w="1049" w:type="dxa"/>
            <w:tcBorders>
              <w:top w:val="single" w:color="000000" w:sz="4" w:space="0"/>
              <w:left w:val="single" w:color="000000" w:sz="4" w:space="0"/>
              <w:bottom w:val="single" w:color="000000" w:sz="4" w:space="0"/>
              <w:right w:val="single" w:color="000000" w:sz="4" w:space="0"/>
            </w:tcBorders>
            <w:noWrap/>
          </w:tcPr>
          <w:p>
            <w:pPr>
              <w:pStyle w:val="38"/>
              <w:spacing w:before="91" w:line="218" w:lineRule="auto"/>
              <w:ind w:left="151"/>
              <w:jc w:val="both"/>
              <w:rPr>
                <w:rFonts w:hint="eastAsia" w:ascii="仿宋" w:hAnsi="仿宋" w:eastAsia="仿宋" w:cs="仿宋"/>
                <w:sz w:val="32"/>
                <w:szCs w:val="32"/>
              </w:rPr>
            </w:pPr>
            <w:r>
              <w:rPr>
                <w:rFonts w:hint="eastAsia" w:ascii="仿宋" w:hAnsi="仿宋" w:eastAsia="仿宋" w:cs="仿宋"/>
                <w:b/>
                <w:bCs/>
                <w:spacing w:val="-5"/>
                <w:sz w:val="32"/>
                <w:szCs w:val="32"/>
              </w:rPr>
              <w:t>2023年</w:t>
            </w:r>
          </w:p>
        </w:tc>
        <w:tc>
          <w:tcPr>
            <w:tcW w:w="1014" w:type="dxa"/>
            <w:tcBorders>
              <w:top w:val="single" w:color="000000" w:sz="4" w:space="0"/>
              <w:left w:val="single" w:color="000000" w:sz="4" w:space="0"/>
              <w:bottom w:val="single" w:color="000000" w:sz="4" w:space="0"/>
              <w:right w:val="single" w:color="000000" w:sz="4" w:space="0"/>
            </w:tcBorders>
            <w:noWrap/>
          </w:tcPr>
          <w:p>
            <w:pPr>
              <w:pStyle w:val="38"/>
              <w:spacing w:before="91" w:line="218" w:lineRule="auto"/>
              <w:ind w:left="122"/>
              <w:jc w:val="both"/>
              <w:rPr>
                <w:rFonts w:hint="eastAsia" w:ascii="仿宋" w:hAnsi="仿宋" w:eastAsia="仿宋" w:cs="仿宋"/>
                <w:sz w:val="32"/>
                <w:szCs w:val="32"/>
              </w:rPr>
            </w:pPr>
            <w:r>
              <w:rPr>
                <w:rFonts w:hint="eastAsia" w:ascii="仿宋" w:hAnsi="仿宋" w:eastAsia="仿宋" w:cs="仿宋"/>
                <w:b/>
                <w:bCs/>
                <w:spacing w:val="-5"/>
                <w:sz w:val="32"/>
                <w:szCs w:val="32"/>
              </w:rPr>
              <w:t>2024年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744" w:type="dxa"/>
            <w:vMerge w:val="restart"/>
            <w:tcBorders>
              <w:top w:val="single" w:color="000000" w:sz="4" w:space="0"/>
              <w:left w:val="single" w:color="000000" w:sz="4" w:space="0"/>
              <w:bottom w:val="nil"/>
              <w:right w:val="single" w:color="000000" w:sz="4" w:space="0"/>
            </w:tcBorders>
            <w:noWrap/>
          </w:tcPr>
          <w:p>
            <w:pPr>
              <w:spacing w:line="288" w:lineRule="auto"/>
              <w:jc w:val="both"/>
              <w:rPr>
                <w:rFonts w:hint="eastAsia" w:ascii="仿宋" w:hAnsi="仿宋" w:eastAsia="仿宋" w:cs="仿宋"/>
                <w:sz w:val="32"/>
                <w:szCs w:val="32"/>
              </w:rPr>
            </w:pPr>
          </w:p>
          <w:p>
            <w:pPr>
              <w:spacing w:line="288" w:lineRule="auto"/>
              <w:jc w:val="both"/>
              <w:rPr>
                <w:rFonts w:hint="eastAsia" w:ascii="仿宋" w:hAnsi="仿宋" w:eastAsia="仿宋" w:cs="仿宋"/>
                <w:sz w:val="32"/>
                <w:szCs w:val="32"/>
              </w:rPr>
            </w:pPr>
          </w:p>
          <w:p>
            <w:pPr>
              <w:spacing w:line="290" w:lineRule="auto"/>
              <w:jc w:val="both"/>
              <w:rPr>
                <w:rFonts w:hint="eastAsia" w:ascii="仿宋" w:hAnsi="仿宋" w:eastAsia="仿宋" w:cs="仿宋"/>
                <w:sz w:val="32"/>
                <w:szCs w:val="32"/>
              </w:rPr>
            </w:pPr>
          </w:p>
          <w:p>
            <w:pPr>
              <w:pStyle w:val="38"/>
              <w:spacing w:before="78" w:line="185" w:lineRule="auto"/>
              <w:ind w:left="305"/>
              <w:jc w:val="both"/>
              <w:rPr>
                <w:rFonts w:hint="eastAsia" w:ascii="仿宋" w:hAnsi="仿宋" w:eastAsia="仿宋" w:cs="仿宋"/>
                <w:sz w:val="32"/>
                <w:szCs w:val="32"/>
              </w:rPr>
            </w:pPr>
            <w:r>
              <w:rPr>
                <w:rFonts w:hint="eastAsia" w:ascii="仿宋" w:hAnsi="仿宋" w:eastAsia="仿宋" w:cs="仿宋"/>
                <w:sz w:val="32"/>
                <w:szCs w:val="32"/>
              </w:rPr>
              <w:t>1</w:t>
            </w:r>
          </w:p>
        </w:tc>
        <w:tc>
          <w:tcPr>
            <w:tcW w:w="4754" w:type="dxa"/>
            <w:tcBorders>
              <w:top w:val="single" w:color="000000" w:sz="4" w:space="0"/>
              <w:left w:val="single" w:color="000000" w:sz="4" w:space="0"/>
              <w:bottom w:val="single" w:color="000000" w:sz="4" w:space="0"/>
              <w:right w:val="single" w:color="000000" w:sz="4" w:space="0"/>
            </w:tcBorders>
            <w:noWrap/>
          </w:tcPr>
          <w:p>
            <w:pPr>
              <w:pStyle w:val="38"/>
              <w:spacing w:before="71" w:line="218" w:lineRule="auto"/>
              <w:ind w:left="111"/>
              <w:jc w:val="both"/>
              <w:rPr>
                <w:rFonts w:hint="eastAsia" w:ascii="仿宋" w:hAnsi="仿宋" w:eastAsia="仿宋" w:cs="仿宋"/>
                <w:sz w:val="32"/>
                <w:szCs w:val="32"/>
              </w:rPr>
            </w:pPr>
            <w:r>
              <w:rPr>
                <w:rFonts w:hint="eastAsia" w:ascii="仿宋" w:hAnsi="仿宋" w:eastAsia="仿宋" w:cs="仿宋"/>
                <w:sz w:val="32"/>
                <w:szCs w:val="32"/>
              </w:rPr>
              <w:t>毕业生初次就业人数*</w:t>
            </w:r>
          </w:p>
        </w:tc>
        <w:tc>
          <w:tcPr>
            <w:tcW w:w="779" w:type="dxa"/>
            <w:tcBorders>
              <w:top w:val="single" w:color="000000" w:sz="4" w:space="0"/>
              <w:left w:val="single" w:color="000000" w:sz="4" w:space="0"/>
              <w:bottom w:val="single" w:color="000000" w:sz="4" w:space="0"/>
              <w:right w:val="single" w:color="000000" w:sz="4" w:space="0"/>
            </w:tcBorders>
            <w:noWrap/>
          </w:tcPr>
          <w:p>
            <w:pPr>
              <w:pStyle w:val="38"/>
              <w:spacing w:before="74" w:line="223" w:lineRule="auto"/>
              <w:ind w:left="267"/>
              <w:jc w:val="both"/>
              <w:rPr>
                <w:rFonts w:hint="eastAsia" w:ascii="仿宋" w:hAnsi="仿宋" w:eastAsia="仿宋" w:cs="仿宋"/>
                <w:sz w:val="32"/>
                <w:szCs w:val="32"/>
              </w:rPr>
            </w:pPr>
            <w:r>
              <w:rPr>
                <w:rFonts w:hint="eastAsia" w:ascii="仿宋" w:hAnsi="仿宋" w:eastAsia="仿宋" w:cs="仿宋"/>
                <w:sz w:val="32"/>
                <w:szCs w:val="32"/>
              </w:rPr>
              <w:t>人</w:t>
            </w:r>
          </w:p>
        </w:tc>
        <w:tc>
          <w:tcPr>
            <w:tcW w:w="104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498</w:t>
            </w:r>
          </w:p>
        </w:tc>
        <w:tc>
          <w:tcPr>
            <w:tcW w:w="101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415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74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754" w:type="dxa"/>
            <w:tcBorders>
              <w:top w:val="single" w:color="000000" w:sz="4" w:space="0"/>
              <w:left w:val="single" w:color="000000" w:sz="4" w:space="0"/>
              <w:bottom w:val="single" w:color="000000" w:sz="4" w:space="0"/>
              <w:right w:val="single" w:color="000000" w:sz="4" w:space="0"/>
            </w:tcBorders>
            <w:noWrap/>
          </w:tcPr>
          <w:p>
            <w:pPr>
              <w:pStyle w:val="38"/>
              <w:spacing w:before="81" w:line="218" w:lineRule="auto"/>
              <w:ind w:left="111"/>
              <w:jc w:val="both"/>
              <w:rPr>
                <w:rFonts w:hint="eastAsia" w:ascii="仿宋" w:hAnsi="仿宋" w:eastAsia="仿宋" w:cs="仿宋"/>
                <w:sz w:val="32"/>
                <w:szCs w:val="32"/>
              </w:rPr>
            </w:pPr>
            <w:r>
              <w:rPr>
                <w:rFonts w:hint="eastAsia" w:ascii="仿宋" w:hAnsi="仿宋" w:eastAsia="仿宋" w:cs="仿宋"/>
                <w:spacing w:val="-1"/>
                <w:sz w:val="32"/>
                <w:szCs w:val="32"/>
              </w:rPr>
              <w:t>其中：A类：留在当地就业人数*</w:t>
            </w:r>
          </w:p>
        </w:tc>
        <w:tc>
          <w:tcPr>
            <w:tcW w:w="779" w:type="dxa"/>
            <w:tcBorders>
              <w:top w:val="single" w:color="000000" w:sz="4" w:space="0"/>
              <w:left w:val="single" w:color="000000" w:sz="4" w:space="0"/>
              <w:bottom w:val="single" w:color="000000" w:sz="4" w:space="0"/>
              <w:right w:val="single" w:color="000000" w:sz="4" w:space="0"/>
            </w:tcBorders>
            <w:noWrap/>
          </w:tcPr>
          <w:p>
            <w:pPr>
              <w:pStyle w:val="38"/>
              <w:spacing w:before="85" w:line="223" w:lineRule="auto"/>
              <w:ind w:left="267"/>
              <w:jc w:val="both"/>
              <w:rPr>
                <w:rFonts w:hint="eastAsia" w:ascii="仿宋" w:hAnsi="仿宋" w:eastAsia="仿宋" w:cs="仿宋"/>
                <w:sz w:val="32"/>
                <w:szCs w:val="32"/>
              </w:rPr>
            </w:pPr>
            <w:r>
              <w:rPr>
                <w:rFonts w:hint="eastAsia" w:ascii="仿宋" w:hAnsi="仿宋" w:eastAsia="仿宋" w:cs="仿宋"/>
                <w:sz w:val="32"/>
                <w:szCs w:val="32"/>
              </w:rPr>
              <w:t>人</w:t>
            </w:r>
          </w:p>
        </w:tc>
        <w:tc>
          <w:tcPr>
            <w:tcW w:w="104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43</w:t>
            </w:r>
          </w:p>
        </w:tc>
        <w:tc>
          <w:tcPr>
            <w:tcW w:w="101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74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754" w:type="dxa"/>
            <w:tcBorders>
              <w:top w:val="single" w:color="000000" w:sz="4" w:space="0"/>
              <w:left w:val="single" w:color="000000" w:sz="4" w:space="0"/>
              <w:bottom w:val="single" w:color="000000" w:sz="4" w:space="0"/>
              <w:right w:val="single" w:color="000000" w:sz="4" w:space="0"/>
            </w:tcBorders>
            <w:noWrap/>
          </w:tcPr>
          <w:p>
            <w:pPr>
              <w:pStyle w:val="38"/>
              <w:spacing w:before="92" w:line="218" w:lineRule="auto"/>
              <w:ind w:left="831"/>
              <w:jc w:val="both"/>
              <w:rPr>
                <w:rFonts w:hint="eastAsia" w:ascii="仿宋" w:hAnsi="仿宋" w:eastAsia="仿宋" w:cs="仿宋"/>
                <w:sz w:val="32"/>
                <w:szCs w:val="32"/>
              </w:rPr>
            </w:pPr>
            <w:r>
              <w:rPr>
                <w:rFonts w:hint="eastAsia" w:ascii="仿宋" w:hAnsi="仿宋" w:eastAsia="仿宋" w:cs="仿宋"/>
                <w:spacing w:val="-1"/>
                <w:sz w:val="32"/>
                <w:szCs w:val="32"/>
              </w:rPr>
              <w:t>B类：到西部和东北地区就业人数*</w:t>
            </w:r>
          </w:p>
        </w:tc>
        <w:tc>
          <w:tcPr>
            <w:tcW w:w="779" w:type="dxa"/>
            <w:tcBorders>
              <w:top w:val="single" w:color="000000" w:sz="4" w:space="0"/>
              <w:left w:val="single" w:color="000000" w:sz="4" w:space="0"/>
              <w:bottom w:val="single" w:color="000000" w:sz="4" w:space="0"/>
              <w:right w:val="single" w:color="000000" w:sz="4" w:space="0"/>
            </w:tcBorders>
            <w:noWrap/>
          </w:tcPr>
          <w:p>
            <w:pPr>
              <w:pStyle w:val="38"/>
              <w:spacing w:before="95" w:line="223" w:lineRule="auto"/>
              <w:ind w:left="267"/>
              <w:jc w:val="both"/>
              <w:rPr>
                <w:rFonts w:hint="eastAsia" w:ascii="仿宋" w:hAnsi="仿宋" w:eastAsia="仿宋" w:cs="仿宋"/>
                <w:sz w:val="32"/>
                <w:szCs w:val="32"/>
              </w:rPr>
            </w:pPr>
            <w:r>
              <w:rPr>
                <w:rFonts w:hint="eastAsia" w:ascii="仿宋" w:hAnsi="仿宋" w:eastAsia="仿宋" w:cs="仿宋"/>
                <w:sz w:val="32"/>
                <w:szCs w:val="32"/>
              </w:rPr>
              <w:t>人</w:t>
            </w:r>
          </w:p>
        </w:tc>
        <w:tc>
          <w:tcPr>
            <w:tcW w:w="104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101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74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754" w:type="dxa"/>
            <w:tcBorders>
              <w:top w:val="single" w:color="000000" w:sz="4" w:space="0"/>
              <w:left w:val="single" w:color="000000" w:sz="4" w:space="0"/>
              <w:bottom w:val="single" w:color="000000" w:sz="4" w:space="0"/>
              <w:right w:val="single" w:color="000000" w:sz="4" w:space="0"/>
            </w:tcBorders>
            <w:noWrap/>
          </w:tcPr>
          <w:p>
            <w:pPr>
              <w:pStyle w:val="38"/>
              <w:spacing w:before="73" w:line="218" w:lineRule="auto"/>
              <w:ind w:left="831"/>
              <w:jc w:val="both"/>
              <w:rPr>
                <w:rFonts w:hint="eastAsia" w:ascii="仿宋" w:hAnsi="仿宋" w:eastAsia="仿宋" w:cs="仿宋"/>
                <w:sz w:val="32"/>
                <w:szCs w:val="32"/>
              </w:rPr>
            </w:pPr>
            <w:r>
              <w:rPr>
                <w:rFonts w:hint="eastAsia" w:ascii="仿宋" w:hAnsi="仿宋" w:eastAsia="仿宋" w:cs="仿宋"/>
                <w:spacing w:val="-1"/>
                <w:sz w:val="32"/>
                <w:szCs w:val="32"/>
              </w:rPr>
              <w:t>C类：到中小微企业就业人数*</w:t>
            </w:r>
          </w:p>
        </w:tc>
        <w:tc>
          <w:tcPr>
            <w:tcW w:w="779" w:type="dxa"/>
            <w:tcBorders>
              <w:top w:val="single" w:color="000000" w:sz="4" w:space="0"/>
              <w:left w:val="single" w:color="000000" w:sz="4" w:space="0"/>
              <w:bottom w:val="single" w:color="000000" w:sz="4" w:space="0"/>
              <w:right w:val="single" w:color="000000" w:sz="4" w:space="0"/>
            </w:tcBorders>
            <w:noWrap/>
          </w:tcPr>
          <w:p>
            <w:pPr>
              <w:pStyle w:val="38"/>
              <w:spacing w:before="76" w:line="223" w:lineRule="auto"/>
              <w:ind w:left="267"/>
              <w:jc w:val="both"/>
              <w:rPr>
                <w:rFonts w:hint="eastAsia" w:ascii="仿宋" w:hAnsi="仿宋" w:eastAsia="仿宋" w:cs="仿宋"/>
                <w:sz w:val="32"/>
                <w:szCs w:val="32"/>
              </w:rPr>
            </w:pPr>
            <w:r>
              <w:rPr>
                <w:rFonts w:hint="eastAsia" w:ascii="仿宋" w:hAnsi="仿宋" w:eastAsia="仿宋" w:cs="仿宋"/>
                <w:sz w:val="32"/>
                <w:szCs w:val="32"/>
              </w:rPr>
              <w:t>人</w:t>
            </w:r>
          </w:p>
        </w:tc>
        <w:tc>
          <w:tcPr>
            <w:tcW w:w="104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418</w:t>
            </w:r>
          </w:p>
        </w:tc>
        <w:tc>
          <w:tcPr>
            <w:tcW w:w="101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332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744" w:type="dxa"/>
            <w:vMerge w:val="continue"/>
            <w:tcBorders>
              <w:top w:val="nil"/>
              <w:left w:val="single" w:color="000000" w:sz="4" w:space="0"/>
              <w:bottom w:val="single" w:color="000000" w:sz="4" w:space="0"/>
              <w:right w:val="single" w:color="000000" w:sz="4" w:space="0"/>
            </w:tcBorders>
            <w:noWrap/>
          </w:tcPr>
          <w:p>
            <w:pPr>
              <w:rPr>
                <w:rFonts w:hint="eastAsia" w:ascii="仿宋" w:hAnsi="仿宋" w:eastAsia="仿宋" w:cs="仿宋"/>
                <w:sz w:val="32"/>
                <w:szCs w:val="32"/>
              </w:rPr>
            </w:pPr>
          </w:p>
        </w:tc>
        <w:tc>
          <w:tcPr>
            <w:tcW w:w="4754" w:type="dxa"/>
            <w:tcBorders>
              <w:top w:val="single" w:color="000000" w:sz="4" w:space="0"/>
              <w:left w:val="single" w:color="000000" w:sz="4" w:space="0"/>
              <w:bottom w:val="single" w:color="000000" w:sz="4" w:space="0"/>
              <w:right w:val="single" w:color="000000" w:sz="4" w:space="0"/>
            </w:tcBorders>
            <w:noWrap/>
          </w:tcPr>
          <w:p>
            <w:pPr>
              <w:pStyle w:val="38"/>
              <w:spacing w:before="93" w:line="218" w:lineRule="auto"/>
              <w:ind w:left="821"/>
              <w:jc w:val="both"/>
              <w:rPr>
                <w:rFonts w:hint="eastAsia" w:ascii="仿宋" w:hAnsi="仿宋" w:eastAsia="仿宋" w:cs="仿宋"/>
                <w:sz w:val="32"/>
                <w:szCs w:val="32"/>
              </w:rPr>
            </w:pPr>
            <w:r>
              <w:rPr>
                <w:rFonts w:hint="eastAsia" w:ascii="仿宋" w:hAnsi="仿宋" w:eastAsia="仿宋" w:cs="仿宋"/>
                <w:spacing w:val="-1"/>
                <w:sz w:val="32"/>
                <w:szCs w:val="32"/>
              </w:rPr>
              <w:t>D类：到大型企业就业人数*</w:t>
            </w:r>
          </w:p>
        </w:tc>
        <w:tc>
          <w:tcPr>
            <w:tcW w:w="779" w:type="dxa"/>
            <w:tcBorders>
              <w:top w:val="single" w:color="000000" w:sz="4" w:space="0"/>
              <w:left w:val="single" w:color="000000" w:sz="4" w:space="0"/>
              <w:bottom w:val="single" w:color="000000" w:sz="4" w:space="0"/>
              <w:right w:val="single" w:color="000000" w:sz="4" w:space="0"/>
            </w:tcBorders>
            <w:noWrap/>
          </w:tcPr>
          <w:p>
            <w:pPr>
              <w:pStyle w:val="38"/>
              <w:spacing w:before="96" w:line="223" w:lineRule="auto"/>
              <w:ind w:left="267"/>
              <w:jc w:val="both"/>
              <w:rPr>
                <w:rFonts w:hint="eastAsia" w:ascii="仿宋" w:hAnsi="仿宋" w:eastAsia="仿宋" w:cs="仿宋"/>
                <w:sz w:val="32"/>
                <w:szCs w:val="32"/>
              </w:rPr>
            </w:pPr>
            <w:r>
              <w:rPr>
                <w:rFonts w:hint="eastAsia" w:ascii="仿宋" w:hAnsi="仿宋" w:eastAsia="仿宋" w:cs="仿宋"/>
                <w:sz w:val="32"/>
                <w:szCs w:val="32"/>
              </w:rPr>
              <w:t>人</w:t>
            </w:r>
          </w:p>
        </w:tc>
        <w:tc>
          <w:tcPr>
            <w:tcW w:w="104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80</w:t>
            </w:r>
          </w:p>
        </w:tc>
        <w:tc>
          <w:tcPr>
            <w:tcW w:w="101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744" w:type="dxa"/>
            <w:vMerge w:val="restart"/>
            <w:tcBorders>
              <w:top w:val="single" w:color="000000" w:sz="4" w:space="0"/>
              <w:left w:val="single" w:color="000000" w:sz="4" w:space="0"/>
              <w:bottom w:val="nil"/>
              <w:right w:val="single" w:color="000000" w:sz="4" w:space="0"/>
            </w:tcBorders>
            <w:noWrap/>
          </w:tcPr>
          <w:p>
            <w:pPr>
              <w:spacing w:line="266" w:lineRule="auto"/>
              <w:jc w:val="both"/>
              <w:rPr>
                <w:rFonts w:hint="eastAsia" w:ascii="仿宋" w:hAnsi="仿宋" w:eastAsia="仿宋" w:cs="仿宋"/>
                <w:sz w:val="32"/>
                <w:szCs w:val="32"/>
              </w:rPr>
            </w:pPr>
          </w:p>
          <w:p>
            <w:pPr>
              <w:pStyle w:val="38"/>
              <w:spacing w:before="78" w:line="182" w:lineRule="auto"/>
              <w:ind w:left="305"/>
              <w:jc w:val="both"/>
              <w:rPr>
                <w:rFonts w:hint="eastAsia" w:ascii="仿宋" w:hAnsi="仿宋" w:eastAsia="仿宋" w:cs="仿宋"/>
                <w:sz w:val="32"/>
                <w:szCs w:val="32"/>
              </w:rPr>
            </w:pPr>
            <w:r>
              <w:rPr>
                <w:rFonts w:hint="eastAsia" w:ascii="仿宋" w:hAnsi="仿宋" w:eastAsia="仿宋" w:cs="仿宋"/>
                <w:sz w:val="32"/>
                <w:szCs w:val="32"/>
              </w:rPr>
              <w:t>2</w:t>
            </w:r>
          </w:p>
        </w:tc>
        <w:tc>
          <w:tcPr>
            <w:tcW w:w="4754" w:type="dxa"/>
            <w:tcBorders>
              <w:top w:val="single" w:color="000000" w:sz="4" w:space="0"/>
              <w:left w:val="single" w:color="000000" w:sz="4" w:space="0"/>
              <w:bottom w:val="single" w:color="000000" w:sz="4" w:space="0"/>
              <w:right w:val="single" w:color="000000" w:sz="4" w:space="0"/>
            </w:tcBorders>
            <w:noWrap/>
          </w:tcPr>
          <w:p>
            <w:pPr>
              <w:pStyle w:val="38"/>
              <w:spacing w:before="84" w:line="218" w:lineRule="auto"/>
              <w:ind w:left="111"/>
              <w:jc w:val="both"/>
              <w:rPr>
                <w:rFonts w:hint="eastAsia" w:ascii="仿宋" w:hAnsi="仿宋" w:eastAsia="仿宋" w:cs="仿宋"/>
                <w:sz w:val="32"/>
                <w:szCs w:val="32"/>
              </w:rPr>
            </w:pPr>
            <w:r>
              <w:rPr>
                <w:rFonts w:hint="eastAsia" w:ascii="仿宋" w:hAnsi="仿宋" w:eastAsia="仿宋" w:cs="仿宋"/>
                <w:spacing w:val="-1"/>
                <w:sz w:val="32"/>
                <w:szCs w:val="32"/>
              </w:rPr>
              <w:t>横向技术服务到款额</w:t>
            </w:r>
          </w:p>
        </w:tc>
        <w:tc>
          <w:tcPr>
            <w:tcW w:w="779" w:type="dxa"/>
            <w:tcBorders>
              <w:top w:val="single" w:color="000000" w:sz="4" w:space="0"/>
              <w:left w:val="single" w:color="000000" w:sz="4" w:space="0"/>
              <w:bottom w:val="single" w:color="000000" w:sz="4" w:space="0"/>
              <w:right w:val="single" w:color="000000" w:sz="4" w:space="0"/>
            </w:tcBorders>
            <w:noWrap/>
          </w:tcPr>
          <w:p>
            <w:pPr>
              <w:pStyle w:val="38"/>
              <w:spacing w:before="84" w:line="221" w:lineRule="auto"/>
              <w:ind w:left="147"/>
              <w:jc w:val="both"/>
              <w:rPr>
                <w:rFonts w:hint="eastAsia" w:ascii="仿宋" w:hAnsi="仿宋" w:eastAsia="仿宋" w:cs="仿宋"/>
                <w:sz w:val="32"/>
                <w:szCs w:val="32"/>
              </w:rPr>
            </w:pPr>
            <w:r>
              <w:rPr>
                <w:rFonts w:hint="eastAsia" w:ascii="仿宋" w:hAnsi="仿宋" w:eastAsia="仿宋" w:cs="仿宋"/>
                <w:spacing w:val="5"/>
                <w:sz w:val="32"/>
                <w:szCs w:val="32"/>
              </w:rPr>
              <w:t>万元</w:t>
            </w:r>
          </w:p>
        </w:tc>
        <w:tc>
          <w:tcPr>
            <w:tcW w:w="104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101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744" w:type="dxa"/>
            <w:vMerge w:val="continue"/>
            <w:tcBorders>
              <w:top w:val="nil"/>
              <w:left w:val="single" w:color="000000" w:sz="4" w:space="0"/>
              <w:bottom w:val="single" w:color="000000" w:sz="4" w:space="0"/>
              <w:right w:val="single" w:color="000000" w:sz="4" w:space="0"/>
            </w:tcBorders>
            <w:noWrap/>
          </w:tcPr>
          <w:p>
            <w:pPr>
              <w:rPr>
                <w:rFonts w:hint="eastAsia" w:ascii="仿宋" w:hAnsi="仿宋" w:eastAsia="仿宋" w:cs="仿宋"/>
                <w:sz w:val="32"/>
                <w:szCs w:val="32"/>
              </w:rPr>
            </w:pPr>
          </w:p>
        </w:tc>
        <w:tc>
          <w:tcPr>
            <w:tcW w:w="4754" w:type="dxa"/>
            <w:tcBorders>
              <w:top w:val="single" w:color="000000" w:sz="4" w:space="0"/>
              <w:left w:val="single" w:color="000000" w:sz="4" w:space="0"/>
              <w:bottom w:val="single" w:color="000000" w:sz="4" w:space="0"/>
              <w:right w:val="single" w:color="000000" w:sz="4" w:space="0"/>
            </w:tcBorders>
            <w:noWrap/>
          </w:tcPr>
          <w:p>
            <w:pPr>
              <w:pStyle w:val="38"/>
              <w:spacing w:before="84" w:line="218" w:lineRule="auto"/>
              <w:ind w:left="111"/>
              <w:jc w:val="both"/>
              <w:rPr>
                <w:rFonts w:hint="eastAsia" w:ascii="仿宋" w:hAnsi="仿宋" w:eastAsia="仿宋" w:cs="仿宋"/>
                <w:sz w:val="32"/>
                <w:szCs w:val="32"/>
              </w:rPr>
            </w:pPr>
            <w:r>
              <w:rPr>
                <w:rFonts w:hint="eastAsia" w:ascii="仿宋" w:hAnsi="仿宋" w:eastAsia="仿宋" w:cs="仿宋"/>
                <w:spacing w:val="1"/>
                <w:sz w:val="32"/>
                <w:szCs w:val="32"/>
              </w:rPr>
              <w:t>横向技术服务产生的经济效益2</w:t>
            </w:r>
          </w:p>
        </w:tc>
        <w:tc>
          <w:tcPr>
            <w:tcW w:w="779" w:type="dxa"/>
            <w:tcBorders>
              <w:top w:val="single" w:color="000000" w:sz="4" w:space="0"/>
              <w:left w:val="single" w:color="000000" w:sz="4" w:space="0"/>
              <w:bottom w:val="single" w:color="000000" w:sz="4" w:space="0"/>
              <w:right w:val="single" w:color="000000" w:sz="4" w:space="0"/>
            </w:tcBorders>
            <w:noWrap/>
          </w:tcPr>
          <w:p>
            <w:pPr>
              <w:pStyle w:val="38"/>
              <w:spacing w:before="85" w:line="221" w:lineRule="auto"/>
              <w:ind w:left="147"/>
              <w:jc w:val="both"/>
              <w:rPr>
                <w:rFonts w:hint="eastAsia" w:ascii="仿宋" w:hAnsi="仿宋" w:eastAsia="仿宋" w:cs="仿宋"/>
                <w:sz w:val="32"/>
                <w:szCs w:val="32"/>
              </w:rPr>
            </w:pPr>
            <w:r>
              <w:rPr>
                <w:rFonts w:hint="eastAsia" w:ascii="仿宋" w:hAnsi="仿宋" w:eastAsia="仿宋" w:cs="仿宋"/>
                <w:spacing w:val="5"/>
                <w:sz w:val="32"/>
                <w:szCs w:val="32"/>
              </w:rPr>
              <w:t>万元</w:t>
            </w:r>
          </w:p>
        </w:tc>
        <w:tc>
          <w:tcPr>
            <w:tcW w:w="104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101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744" w:type="dxa"/>
            <w:tcBorders>
              <w:top w:val="single" w:color="000000" w:sz="4" w:space="0"/>
              <w:left w:val="single" w:color="000000" w:sz="4" w:space="0"/>
              <w:bottom w:val="single" w:color="000000" w:sz="4" w:space="0"/>
              <w:right w:val="single" w:color="000000" w:sz="4" w:space="0"/>
            </w:tcBorders>
            <w:noWrap/>
          </w:tcPr>
          <w:p>
            <w:pPr>
              <w:pStyle w:val="38"/>
              <w:spacing w:before="146" w:line="182" w:lineRule="auto"/>
              <w:ind w:left="305"/>
              <w:jc w:val="both"/>
              <w:rPr>
                <w:rFonts w:hint="eastAsia" w:ascii="仿宋" w:hAnsi="仿宋" w:eastAsia="仿宋" w:cs="仿宋"/>
                <w:sz w:val="32"/>
                <w:szCs w:val="32"/>
              </w:rPr>
            </w:pPr>
            <w:r>
              <w:rPr>
                <w:rFonts w:hint="eastAsia" w:ascii="仿宋" w:hAnsi="仿宋" w:eastAsia="仿宋" w:cs="仿宋"/>
                <w:sz w:val="32"/>
                <w:szCs w:val="32"/>
              </w:rPr>
              <w:t>3</w:t>
            </w:r>
          </w:p>
        </w:tc>
        <w:tc>
          <w:tcPr>
            <w:tcW w:w="4754" w:type="dxa"/>
            <w:tcBorders>
              <w:top w:val="single" w:color="000000" w:sz="4" w:space="0"/>
              <w:left w:val="single" w:color="000000" w:sz="4" w:space="0"/>
              <w:bottom w:val="single" w:color="000000" w:sz="4" w:space="0"/>
              <w:right w:val="single" w:color="000000" w:sz="4" w:space="0"/>
            </w:tcBorders>
            <w:noWrap/>
          </w:tcPr>
          <w:p>
            <w:pPr>
              <w:pStyle w:val="38"/>
              <w:spacing w:before="83" w:line="218" w:lineRule="auto"/>
              <w:ind w:left="111"/>
              <w:jc w:val="both"/>
              <w:rPr>
                <w:rFonts w:hint="eastAsia" w:ascii="仿宋" w:hAnsi="仿宋" w:eastAsia="仿宋" w:cs="仿宋"/>
                <w:sz w:val="32"/>
                <w:szCs w:val="32"/>
              </w:rPr>
            </w:pPr>
            <w:r>
              <w:rPr>
                <w:rFonts w:hint="eastAsia" w:ascii="仿宋" w:hAnsi="仿宋" w:eastAsia="仿宋" w:cs="仿宋"/>
                <w:sz w:val="32"/>
                <w:szCs w:val="32"/>
              </w:rPr>
              <w:t>纵向科研经费到款额*</w:t>
            </w:r>
          </w:p>
        </w:tc>
        <w:tc>
          <w:tcPr>
            <w:tcW w:w="779" w:type="dxa"/>
            <w:tcBorders>
              <w:top w:val="single" w:color="000000" w:sz="4" w:space="0"/>
              <w:left w:val="single" w:color="000000" w:sz="4" w:space="0"/>
              <w:bottom w:val="single" w:color="000000" w:sz="4" w:space="0"/>
              <w:right w:val="single" w:color="000000" w:sz="4" w:space="0"/>
            </w:tcBorders>
            <w:noWrap/>
          </w:tcPr>
          <w:p>
            <w:pPr>
              <w:pStyle w:val="38"/>
              <w:spacing w:before="85" w:line="221" w:lineRule="auto"/>
              <w:ind w:left="147"/>
              <w:jc w:val="both"/>
              <w:rPr>
                <w:rFonts w:hint="eastAsia" w:ascii="仿宋" w:hAnsi="仿宋" w:eastAsia="仿宋" w:cs="仿宋"/>
                <w:sz w:val="32"/>
                <w:szCs w:val="32"/>
              </w:rPr>
            </w:pPr>
            <w:r>
              <w:rPr>
                <w:rFonts w:hint="eastAsia" w:ascii="仿宋" w:hAnsi="仿宋" w:eastAsia="仿宋" w:cs="仿宋"/>
                <w:spacing w:val="5"/>
                <w:sz w:val="32"/>
                <w:szCs w:val="32"/>
              </w:rPr>
              <w:t>万元</w:t>
            </w:r>
          </w:p>
        </w:tc>
        <w:tc>
          <w:tcPr>
            <w:tcW w:w="104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101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744" w:type="dxa"/>
            <w:tcBorders>
              <w:top w:val="single" w:color="000000" w:sz="4" w:space="0"/>
              <w:left w:val="single" w:color="000000" w:sz="4" w:space="0"/>
              <w:bottom w:val="single" w:color="000000" w:sz="4" w:space="0"/>
              <w:right w:val="single" w:color="000000" w:sz="4" w:space="0"/>
            </w:tcBorders>
            <w:noWrap/>
          </w:tcPr>
          <w:p>
            <w:pPr>
              <w:pStyle w:val="38"/>
              <w:spacing w:before="146" w:line="180" w:lineRule="auto"/>
              <w:ind w:left="305"/>
              <w:jc w:val="both"/>
              <w:rPr>
                <w:rFonts w:hint="eastAsia" w:ascii="仿宋" w:hAnsi="仿宋" w:eastAsia="仿宋" w:cs="仿宋"/>
                <w:sz w:val="32"/>
                <w:szCs w:val="32"/>
              </w:rPr>
            </w:pPr>
            <w:r>
              <w:rPr>
                <w:rFonts w:hint="eastAsia" w:ascii="仿宋" w:hAnsi="仿宋" w:eastAsia="仿宋" w:cs="仿宋"/>
                <w:sz w:val="32"/>
                <w:szCs w:val="32"/>
              </w:rPr>
              <w:t>4</w:t>
            </w:r>
          </w:p>
        </w:tc>
        <w:tc>
          <w:tcPr>
            <w:tcW w:w="4754" w:type="dxa"/>
            <w:tcBorders>
              <w:top w:val="single" w:color="000000" w:sz="4" w:space="0"/>
              <w:left w:val="single" w:color="000000" w:sz="4" w:space="0"/>
              <w:bottom w:val="single" w:color="000000" w:sz="4" w:space="0"/>
              <w:right w:val="single" w:color="000000" w:sz="4" w:space="0"/>
            </w:tcBorders>
            <w:noWrap/>
          </w:tcPr>
          <w:p>
            <w:pPr>
              <w:pStyle w:val="38"/>
              <w:spacing w:before="85" w:line="218" w:lineRule="auto"/>
              <w:ind w:left="111"/>
              <w:jc w:val="both"/>
              <w:rPr>
                <w:rFonts w:hint="eastAsia" w:ascii="仿宋" w:hAnsi="仿宋" w:eastAsia="仿宋" w:cs="仿宋"/>
                <w:sz w:val="32"/>
                <w:szCs w:val="32"/>
              </w:rPr>
            </w:pPr>
            <w:r>
              <w:rPr>
                <w:rFonts w:hint="eastAsia" w:ascii="仿宋" w:hAnsi="仿宋" w:eastAsia="仿宋" w:cs="仿宋"/>
                <w:spacing w:val="-2"/>
                <w:sz w:val="32"/>
                <w:szCs w:val="32"/>
              </w:rPr>
              <w:t>技术产权交易收入*</w:t>
            </w:r>
          </w:p>
        </w:tc>
        <w:tc>
          <w:tcPr>
            <w:tcW w:w="779" w:type="dxa"/>
            <w:tcBorders>
              <w:top w:val="single" w:color="000000" w:sz="4" w:space="0"/>
              <w:left w:val="single" w:color="000000" w:sz="4" w:space="0"/>
              <w:bottom w:val="single" w:color="000000" w:sz="4" w:space="0"/>
              <w:right w:val="single" w:color="000000" w:sz="4" w:space="0"/>
            </w:tcBorders>
            <w:noWrap/>
          </w:tcPr>
          <w:p>
            <w:pPr>
              <w:pStyle w:val="38"/>
              <w:spacing w:before="85" w:line="221" w:lineRule="auto"/>
              <w:ind w:left="147"/>
              <w:jc w:val="both"/>
              <w:rPr>
                <w:rFonts w:hint="eastAsia" w:ascii="仿宋" w:hAnsi="仿宋" w:eastAsia="仿宋" w:cs="仿宋"/>
                <w:sz w:val="32"/>
                <w:szCs w:val="32"/>
              </w:rPr>
            </w:pPr>
            <w:r>
              <w:rPr>
                <w:rFonts w:hint="eastAsia" w:ascii="仿宋" w:hAnsi="仿宋" w:eastAsia="仿宋" w:cs="仿宋"/>
                <w:spacing w:val="5"/>
                <w:sz w:val="32"/>
                <w:szCs w:val="32"/>
              </w:rPr>
              <w:t>万元</w:t>
            </w:r>
          </w:p>
        </w:tc>
        <w:tc>
          <w:tcPr>
            <w:tcW w:w="104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101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744" w:type="dxa"/>
            <w:vMerge w:val="restart"/>
            <w:tcBorders>
              <w:top w:val="single" w:color="000000" w:sz="4" w:space="0"/>
              <w:left w:val="single" w:color="000000" w:sz="4" w:space="0"/>
              <w:bottom w:val="nil"/>
              <w:right w:val="single" w:color="000000" w:sz="4" w:space="0"/>
            </w:tcBorders>
            <w:noWrap/>
          </w:tcPr>
          <w:p>
            <w:pPr>
              <w:spacing w:line="478" w:lineRule="auto"/>
              <w:jc w:val="both"/>
              <w:rPr>
                <w:rFonts w:hint="eastAsia" w:ascii="仿宋" w:hAnsi="仿宋" w:eastAsia="仿宋" w:cs="仿宋"/>
                <w:sz w:val="32"/>
                <w:szCs w:val="32"/>
              </w:rPr>
            </w:pPr>
          </w:p>
          <w:p>
            <w:pPr>
              <w:pStyle w:val="38"/>
              <w:spacing w:before="78" w:line="182" w:lineRule="auto"/>
              <w:ind w:left="305"/>
              <w:jc w:val="both"/>
              <w:rPr>
                <w:rFonts w:hint="eastAsia" w:ascii="仿宋" w:hAnsi="仿宋" w:eastAsia="仿宋" w:cs="仿宋"/>
                <w:sz w:val="32"/>
                <w:szCs w:val="32"/>
              </w:rPr>
            </w:pPr>
            <w:r>
              <w:rPr>
                <w:rFonts w:hint="eastAsia" w:ascii="仿宋" w:hAnsi="仿宋" w:eastAsia="仿宋" w:cs="仿宋"/>
                <w:sz w:val="32"/>
                <w:szCs w:val="32"/>
              </w:rPr>
              <w:t>5</w:t>
            </w:r>
          </w:p>
        </w:tc>
        <w:tc>
          <w:tcPr>
            <w:tcW w:w="4754" w:type="dxa"/>
            <w:tcBorders>
              <w:top w:val="single" w:color="000000" w:sz="4" w:space="0"/>
              <w:left w:val="single" w:color="000000" w:sz="4" w:space="0"/>
              <w:bottom w:val="single" w:color="000000" w:sz="4" w:space="0"/>
              <w:right w:val="single" w:color="000000" w:sz="4" w:space="0"/>
            </w:tcBorders>
            <w:noWrap/>
          </w:tcPr>
          <w:p>
            <w:pPr>
              <w:pStyle w:val="38"/>
              <w:spacing w:before="86" w:line="218" w:lineRule="auto"/>
              <w:ind w:left="111"/>
              <w:jc w:val="both"/>
              <w:rPr>
                <w:rFonts w:hint="eastAsia" w:ascii="仿宋" w:hAnsi="仿宋" w:eastAsia="仿宋" w:cs="仿宋"/>
                <w:sz w:val="32"/>
                <w:szCs w:val="32"/>
              </w:rPr>
            </w:pPr>
            <w:r>
              <w:rPr>
                <w:rFonts w:hint="eastAsia" w:ascii="仿宋" w:hAnsi="仿宋" w:eastAsia="仿宋" w:cs="仿宋"/>
                <w:spacing w:val="1"/>
                <w:sz w:val="32"/>
                <w:szCs w:val="32"/>
              </w:rPr>
              <w:t>知识产权项目数量</w:t>
            </w:r>
          </w:p>
        </w:tc>
        <w:tc>
          <w:tcPr>
            <w:tcW w:w="779" w:type="dxa"/>
            <w:tcBorders>
              <w:top w:val="single" w:color="000000" w:sz="4" w:space="0"/>
              <w:left w:val="single" w:color="000000" w:sz="4" w:space="0"/>
              <w:bottom w:val="single" w:color="000000" w:sz="4" w:space="0"/>
              <w:right w:val="single" w:color="000000" w:sz="4" w:space="0"/>
            </w:tcBorders>
            <w:noWrap/>
          </w:tcPr>
          <w:p>
            <w:pPr>
              <w:pStyle w:val="38"/>
              <w:spacing w:before="86" w:line="221" w:lineRule="auto"/>
              <w:ind w:left="267"/>
              <w:jc w:val="both"/>
              <w:rPr>
                <w:rFonts w:hint="eastAsia" w:ascii="仿宋" w:hAnsi="仿宋" w:eastAsia="仿宋" w:cs="仿宋"/>
                <w:sz w:val="32"/>
                <w:szCs w:val="32"/>
              </w:rPr>
            </w:pPr>
            <w:r>
              <w:rPr>
                <w:rFonts w:hint="eastAsia" w:ascii="仿宋" w:hAnsi="仿宋" w:eastAsia="仿宋" w:cs="仿宋"/>
                <w:sz w:val="32"/>
                <w:szCs w:val="32"/>
              </w:rPr>
              <w:t>项</w:t>
            </w:r>
          </w:p>
        </w:tc>
        <w:tc>
          <w:tcPr>
            <w:tcW w:w="104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101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74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754" w:type="dxa"/>
            <w:tcBorders>
              <w:top w:val="single" w:color="000000" w:sz="4" w:space="0"/>
              <w:left w:val="single" w:color="000000" w:sz="4" w:space="0"/>
              <w:bottom w:val="single" w:color="000000" w:sz="4" w:space="0"/>
              <w:right w:val="single" w:color="000000" w:sz="4" w:space="0"/>
            </w:tcBorders>
            <w:noWrap/>
          </w:tcPr>
          <w:p>
            <w:pPr>
              <w:pStyle w:val="38"/>
              <w:spacing w:before="96" w:line="218" w:lineRule="auto"/>
              <w:ind w:left="111"/>
              <w:jc w:val="both"/>
              <w:rPr>
                <w:rFonts w:hint="eastAsia" w:ascii="仿宋" w:hAnsi="仿宋" w:eastAsia="仿宋" w:cs="仿宋"/>
                <w:sz w:val="32"/>
                <w:szCs w:val="32"/>
              </w:rPr>
            </w:pPr>
            <w:r>
              <w:rPr>
                <w:rFonts w:hint="eastAsia" w:ascii="仿宋" w:hAnsi="仿宋" w:eastAsia="仿宋" w:cs="仿宋"/>
                <w:spacing w:val="-2"/>
                <w:sz w:val="32"/>
                <w:szCs w:val="32"/>
              </w:rPr>
              <w:t>其中：专利授权数量</w:t>
            </w:r>
          </w:p>
        </w:tc>
        <w:tc>
          <w:tcPr>
            <w:tcW w:w="779" w:type="dxa"/>
            <w:tcBorders>
              <w:top w:val="single" w:color="000000" w:sz="4" w:space="0"/>
              <w:left w:val="single" w:color="000000" w:sz="4" w:space="0"/>
              <w:bottom w:val="single" w:color="000000" w:sz="4" w:space="0"/>
              <w:right w:val="single" w:color="000000" w:sz="4" w:space="0"/>
            </w:tcBorders>
            <w:noWrap/>
          </w:tcPr>
          <w:p>
            <w:pPr>
              <w:pStyle w:val="38"/>
              <w:spacing w:before="96" w:line="221" w:lineRule="auto"/>
              <w:ind w:left="267"/>
              <w:jc w:val="both"/>
              <w:rPr>
                <w:rFonts w:hint="eastAsia" w:ascii="仿宋" w:hAnsi="仿宋" w:eastAsia="仿宋" w:cs="仿宋"/>
                <w:sz w:val="32"/>
                <w:szCs w:val="32"/>
              </w:rPr>
            </w:pPr>
            <w:r>
              <w:rPr>
                <w:rFonts w:hint="eastAsia" w:ascii="仿宋" w:hAnsi="仿宋" w:eastAsia="仿宋" w:cs="仿宋"/>
                <w:sz w:val="32"/>
                <w:szCs w:val="32"/>
              </w:rPr>
              <w:t>项</w:t>
            </w:r>
          </w:p>
        </w:tc>
        <w:tc>
          <w:tcPr>
            <w:tcW w:w="104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101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744" w:type="dxa"/>
            <w:vMerge w:val="continue"/>
            <w:tcBorders>
              <w:top w:val="nil"/>
              <w:left w:val="single" w:color="000000" w:sz="4" w:space="0"/>
              <w:bottom w:val="single" w:color="000000" w:sz="4" w:space="0"/>
              <w:right w:val="single" w:color="000000" w:sz="4" w:space="0"/>
            </w:tcBorders>
            <w:noWrap/>
          </w:tcPr>
          <w:p>
            <w:pPr>
              <w:rPr>
                <w:rFonts w:hint="eastAsia" w:ascii="仿宋" w:hAnsi="仿宋" w:eastAsia="仿宋" w:cs="仿宋"/>
                <w:sz w:val="32"/>
                <w:szCs w:val="32"/>
              </w:rPr>
            </w:pPr>
          </w:p>
        </w:tc>
        <w:tc>
          <w:tcPr>
            <w:tcW w:w="4754" w:type="dxa"/>
            <w:tcBorders>
              <w:top w:val="single" w:color="000000" w:sz="4" w:space="0"/>
              <w:left w:val="single" w:color="000000" w:sz="4" w:space="0"/>
              <w:bottom w:val="single" w:color="000000" w:sz="4" w:space="0"/>
              <w:right w:val="single" w:color="000000" w:sz="4" w:space="0"/>
            </w:tcBorders>
            <w:noWrap/>
          </w:tcPr>
          <w:p>
            <w:pPr>
              <w:pStyle w:val="38"/>
              <w:spacing w:before="76" w:line="218" w:lineRule="auto"/>
              <w:ind w:left="111"/>
              <w:jc w:val="both"/>
              <w:rPr>
                <w:rFonts w:hint="eastAsia" w:ascii="仿宋" w:hAnsi="仿宋" w:eastAsia="仿宋" w:cs="仿宋"/>
                <w:sz w:val="32"/>
                <w:szCs w:val="32"/>
              </w:rPr>
            </w:pPr>
            <w:r>
              <w:rPr>
                <w:rFonts w:hint="eastAsia" w:ascii="仿宋" w:hAnsi="仿宋" w:eastAsia="仿宋" w:cs="仿宋"/>
                <w:spacing w:val="1"/>
                <w:sz w:val="32"/>
                <w:szCs w:val="32"/>
              </w:rPr>
              <w:t>发明专利授权数量</w:t>
            </w:r>
          </w:p>
        </w:tc>
        <w:tc>
          <w:tcPr>
            <w:tcW w:w="779" w:type="dxa"/>
            <w:tcBorders>
              <w:top w:val="single" w:color="000000" w:sz="4" w:space="0"/>
              <w:left w:val="single" w:color="000000" w:sz="4" w:space="0"/>
              <w:bottom w:val="single" w:color="000000" w:sz="4" w:space="0"/>
              <w:right w:val="single" w:color="000000" w:sz="4" w:space="0"/>
            </w:tcBorders>
            <w:noWrap/>
          </w:tcPr>
          <w:p>
            <w:pPr>
              <w:pStyle w:val="38"/>
              <w:spacing w:before="77" w:line="221" w:lineRule="auto"/>
              <w:ind w:left="267"/>
              <w:jc w:val="both"/>
              <w:rPr>
                <w:rFonts w:hint="eastAsia" w:ascii="仿宋" w:hAnsi="仿宋" w:eastAsia="仿宋" w:cs="仿宋"/>
                <w:sz w:val="32"/>
                <w:szCs w:val="32"/>
              </w:rPr>
            </w:pPr>
            <w:r>
              <w:rPr>
                <w:rFonts w:hint="eastAsia" w:ascii="仿宋" w:hAnsi="仿宋" w:eastAsia="仿宋" w:cs="仿宋"/>
                <w:sz w:val="32"/>
                <w:szCs w:val="32"/>
              </w:rPr>
              <w:t>项</w:t>
            </w:r>
          </w:p>
        </w:tc>
        <w:tc>
          <w:tcPr>
            <w:tcW w:w="104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101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744" w:type="dxa"/>
            <w:tcBorders>
              <w:top w:val="single" w:color="000000" w:sz="4" w:space="0"/>
              <w:left w:val="single" w:color="000000" w:sz="4" w:space="0"/>
              <w:bottom w:val="single" w:color="000000" w:sz="4" w:space="0"/>
              <w:right w:val="single" w:color="000000" w:sz="4" w:space="0"/>
            </w:tcBorders>
            <w:noWrap/>
          </w:tcPr>
          <w:p>
            <w:pPr>
              <w:pStyle w:val="38"/>
              <w:spacing w:before="158" w:line="182" w:lineRule="auto"/>
              <w:ind w:left="305"/>
              <w:jc w:val="both"/>
              <w:rPr>
                <w:rFonts w:hint="eastAsia" w:ascii="仿宋" w:hAnsi="仿宋" w:eastAsia="仿宋" w:cs="仿宋"/>
                <w:sz w:val="32"/>
                <w:szCs w:val="32"/>
              </w:rPr>
            </w:pPr>
            <w:r>
              <w:rPr>
                <w:rFonts w:hint="eastAsia" w:ascii="仿宋" w:hAnsi="仿宋" w:eastAsia="仿宋" w:cs="仿宋"/>
                <w:sz w:val="32"/>
                <w:szCs w:val="32"/>
              </w:rPr>
              <w:t>6</w:t>
            </w:r>
          </w:p>
        </w:tc>
        <w:tc>
          <w:tcPr>
            <w:tcW w:w="4754" w:type="dxa"/>
            <w:tcBorders>
              <w:top w:val="single" w:color="000000" w:sz="4" w:space="0"/>
              <w:left w:val="single" w:color="000000" w:sz="4" w:space="0"/>
              <w:bottom w:val="single" w:color="000000" w:sz="4" w:space="0"/>
              <w:right w:val="single" w:color="000000" w:sz="4" w:space="0"/>
            </w:tcBorders>
            <w:noWrap/>
          </w:tcPr>
          <w:p>
            <w:pPr>
              <w:pStyle w:val="38"/>
              <w:spacing w:before="97" w:line="218" w:lineRule="auto"/>
              <w:ind w:left="111"/>
              <w:jc w:val="both"/>
              <w:rPr>
                <w:rFonts w:hint="eastAsia" w:ascii="仿宋" w:hAnsi="仿宋" w:eastAsia="仿宋" w:cs="仿宋"/>
                <w:sz w:val="32"/>
                <w:szCs w:val="32"/>
              </w:rPr>
            </w:pPr>
            <w:r>
              <w:rPr>
                <w:rFonts w:hint="eastAsia" w:ascii="仿宋" w:hAnsi="仿宋" w:eastAsia="仿宋" w:cs="仿宋"/>
                <w:spacing w:val="-2"/>
                <w:sz w:val="32"/>
                <w:szCs w:val="32"/>
              </w:rPr>
              <w:t>专利转让数量</w:t>
            </w:r>
          </w:p>
        </w:tc>
        <w:tc>
          <w:tcPr>
            <w:tcW w:w="779" w:type="dxa"/>
            <w:tcBorders>
              <w:top w:val="single" w:color="000000" w:sz="4" w:space="0"/>
              <w:left w:val="single" w:color="000000" w:sz="4" w:space="0"/>
              <w:bottom w:val="single" w:color="000000" w:sz="4" w:space="0"/>
              <w:right w:val="single" w:color="000000" w:sz="4" w:space="0"/>
            </w:tcBorders>
            <w:noWrap/>
          </w:tcPr>
          <w:p>
            <w:pPr>
              <w:pStyle w:val="38"/>
              <w:spacing w:before="97" w:line="221" w:lineRule="auto"/>
              <w:ind w:left="267"/>
              <w:jc w:val="both"/>
              <w:rPr>
                <w:rFonts w:hint="eastAsia" w:ascii="仿宋" w:hAnsi="仿宋" w:eastAsia="仿宋" w:cs="仿宋"/>
                <w:sz w:val="32"/>
                <w:szCs w:val="32"/>
              </w:rPr>
            </w:pPr>
            <w:r>
              <w:rPr>
                <w:rFonts w:hint="eastAsia" w:ascii="仿宋" w:hAnsi="仿宋" w:eastAsia="仿宋" w:cs="仿宋"/>
                <w:sz w:val="32"/>
                <w:szCs w:val="32"/>
              </w:rPr>
              <w:t>项</w:t>
            </w:r>
          </w:p>
        </w:tc>
        <w:tc>
          <w:tcPr>
            <w:tcW w:w="104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101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744" w:type="dxa"/>
            <w:tcBorders>
              <w:top w:val="single" w:color="000000" w:sz="4" w:space="0"/>
              <w:left w:val="single" w:color="000000" w:sz="4" w:space="0"/>
              <w:bottom w:val="single" w:color="000000" w:sz="4" w:space="0"/>
              <w:right w:val="single" w:color="000000" w:sz="4" w:space="0"/>
            </w:tcBorders>
            <w:noWrap/>
          </w:tcPr>
          <w:p>
            <w:pPr>
              <w:pStyle w:val="38"/>
              <w:spacing w:before="151" w:line="182" w:lineRule="auto"/>
              <w:ind w:left="305"/>
              <w:jc w:val="both"/>
              <w:rPr>
                <w:rFonts w:hint="eastAsia" w:ascii="仿宋" w:hAnsi="仿宋" w:eastAsia="仿宋" w:cs="仿宋"/>
                <w:sz w:val="32"/>
                <w:szCs w:val="32"/>
              </w:rPr>
            </w:pPr>
            <w:r>
              <w:rPr>
                <w:rFonts w:hint="eastAsia" w:ascii="仿宋" w:hAnsi="仿宋" w:eastAsia="仿宋" w:cs="仿宋"/>
                <w:sz w:val="32"/>
                <w:szCs w:val="32"/>
              </w:rPr>
              <w:t>7</w:t>
            </w:r>
          </w:p>
        </w:tc>
        <w:tc>
          <w:tcPr>
            <w:tcW w:w="4754" w:type="dxa"/>
            <w:tcBorders>
              <w:top w:val="single" w:color="000000" w:sz="4" w:space="0"/>
              <w:left w:val="single" w:color="000000" w:sz="4" w:space="0"/>
              <w:bottom w:val="single" w:color="000000" w:sz="4" w:space="0"/>
              <w:right w:val="single" w:color="000000" w:sz="4" w:space="0"/>
            </w:tcBorders>
            <w:noWrap/>
          </w:tcPr>
          <w:p>
            <w:pPr>
              <w:pStyle w:val="38"/>
              <w:spacing w:before="88" w:line="218" w:lineRule="auto"/>
              <w:ind w:left="111"/>
              <w:jc w:val="both"/>
              <w:rPr>
                <w:rFonts w:hint="eastAsia" w:ascii="仿宋" w:hAnsi="仿宋" w:eastAsia="仿宋" w:cs="仿宋"/>
                <w:sz w:val="32"/>
                <w:szCs w:val="32"/>
              </w:rPr>
            </w:pPr>
            <w:r>
              <w:rPr>
                <w:rFonts w:hint="eastAsia" w:ascii="仿宋" w:hAnsi="仿宋" w:eastAsia="仿宋" w:cs="仿宋"/>
                <w:spacing w:val="-2"/>
                <w:sz w:val="32"/>
                <w:szCs w:val="32"/>
              </w:rPr>
              <w:t>专利成果转化到款额</w:t>
            </w:r>
          </w:p>
        </w:tc>
        <w:tc>
          <w:tcPr>
            <w:tcW w:w="779" w:type="dxa"/>
            <w:tcBorders>
              <w:top w:val="single" w:color="000000" w:sz="4" w:space="0"/>
              <w:left w:val="single" w:color="000000" w:sz="4" w:space="0"/>
              <w:bottom w:val="single" w:color="000000" w:sz="4" w:space="0"/>
              <w:right w:val="single" w:color="000000" w:sz="4" w:space="0"/>
            </w:tcBorders>
            <w:noWrap/>
          </w:tcPr>
          <w:p>
            <w:pPr>
              <w:pStyle w:val="38"/>
              <w:spacing w:before="88" w:line="221" w:lineRule="auto"/>
              <w:ind w:left="147"/>
              <w:jc w:val="both"/>
              <w:rPr>
                <w:rFonts w:hint="eastAsia" w:ascii="仿宋" w:hAnsi="仿宋" w:eastAsia="仿宋" w:cs="仿宋"/>
                <w:sz w:val="32"/>
                <w:szCs w:val="32"/>
              </w:rPr>
            </w:pPr>
            <w:r>
              <w:rPr>
                <w:rFonts w:hint="eastAsia" w:ascii="仿宋" w:hAnsi="仿宋" w:eastAsia="仿宋" w:cs="仿宋"/>
                <w:spacing w:val="5"/>
                <w:sz w:val="32"/>
                <w:szCs w:val="32"/>
              </w:rPr>
              <w:t>万元</w:t>
            </w:r>
          </w:p>
        </w:tc>
        <w:tc>
          <w:tcPr>
            <w:tcW w:w="104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101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744" w:type="dxa"/>
            <w:vMerge w:val="restart"/>
            <w:tcBorders>
              <w:top w:val="single" w:color="000000" w:sz="4" w:space="0"/>
              <w:left w:val="single" w:color="000000" w:sz="4" w:space="0"/>
              <w:bottom w:val="nil"/>
              <w:right w:val="single" w:color="000000" w:sz="4" w:space="0"/>
            </w:tcBorders>
            <w:noWrap/>
          </w:tcPr>
          <w:p>
            <w:pPr>
              <w:spacing w:line="468" w:lineRule="auto"/>
              <w:jc w:val="both"/>
              <w:rPr>
                <w:rFonts w:hint="eastAsia" w:ascii="仿宋" w:hAnsi="仿宋" w:eastAsia="仿宋" w:cs="仿宋"/>
                <w:sz w:val="32"/>
                <w:szCs w:val="32"/>
              </w:rPr>
            </w:pPr>
          </w:p>
          <w:p>
            <w:pPr>
              <w:pStyle w:val="38"/>
              <w:spacing w:before="78" w:line="182" w:lineRule="auto"/>
              <w:ind w:left="305"/>
              <w:jc w:val="both"/>
              <w:rPr>
                <w:rFonts w:hint="eastAsia" w:ascii="仿宋" w:hAnsi="仿宋" w:eastAsia="仿宋" w:cs="仿宋"/>
                <w:sz w:val="32"/>
                <w:szCs w:val="32"/>
              </w:rPr>
            </w:pPr>
            <w:r>
              <w:rPr>
                <w:rFonts w:hint="eastAsia" w:ascii="仿宋" w:hAnsi="仿宋" w:eastAsia="仿宋" w:cs="仿宋"/>
                <w:sz w:val="32"/>
                <w:szCs w:val="32"/>
              </w:rPr>
              <w:t>8</w:t>
            </w:r>
          </w:p>
        </w:tc>
        <w:tc>
          <w:tcPr>
            <w:tcW w:w="4754" w:type="dxa"/>
            <w:tcBorders>
              <w:top w:val="single" w:color="000000" w:sz="4" w:space="0"/>
              <w:left w:val="single" w:color="000000" w:sz="4" w:space="0"/>
              <w:bottom w:val="single" w:color="000000" w:sz="4" w:space="0"/>
              <w:right w:val="single" w:color="000000" w:sz="4" w:space="0"/>
            </w:tcBorders>
            <w:noWrap/>
          </w:tcPr>
          <w:p>
            <w:pPr>
              <w:pStyle w:val="38"/>
              <w:spacing w:before="89" w:line="218" w:lineRule="auto"/>
              <w:ind w:left="111"/>
              <w:jc w:val="both"/>
              <w:rPr>
                <w:rFonts w:hint="eastAsia" w:ascii="仿宋" w:hAnsi="仿宋" w:eastAsia="仿宋" w:cs="仿宋"/>
                <w:sz w:val="32"/>
                <w:szCs w:val="32"/>
              </w:rPr>
            </w:pPr>
            <w:r>
              <w:rPr>
                <w:rFonts w:hint="eastAsia" w:ascii="仿宋" w:hAnsi="仿宋" w:eastAsia="仿宋" w:cs="仿宋"/>
                <w:spacing w:val="1"/>
                <w:sz w:val="32"/>
                <w:szCs w:val="32"/>
              </w:rPr>
              <w:t>非学历培训项目数*</w:t>
            </w:r>
          </w:p>
        </w:tc>
        <w:tc>
          <w:tcPr>
            <w:tcW w:w="779" w:type="dxa"/>
            <w:tcBorders>
              <w:top w:val="single" w:color="000000" w:sz="4" w:space="0"/>
              <w:left w:val="single" w:color="000000" w:sz="4" w:space="0"/>
              <w:bottom w:val="single" w:color="000000" w:sz="4" w:space="0"/>
              <w:right w:val="single" w:color="000000" w:sz="4" w:space="0"/>
            </w:tcBorders>
            <w:noWrap/>
          </w:tcPr>
          <w:p>
            <w:pPr>
              <w:pStyle w:val="38"/>
              <w:spacing w:before="89" w:line="221" w:lineRule="auto"/>
              <w:ind w:left="267"/>
              <w:jc w:val="both"/>
              <w:rPr>
                <w:rFonts w:hint="eastAsia" w:ascii="仿宋" w:hAnsi="仿宋" w:eastAsia="仿宋" w:cs="仿宋"/>
                <w:sz w:val="32"/>
                <w:szCs w:val="32"/>
              </w:rPr>
            </w:pPr>
            <w:r>
              <w:rPr>
                <w:rFonts w:hint="eastAsia" w:ascii="仿宋" w:hAnsi="仿宋" w:eastAsia="仿宋" w:cs="仿宋"/>
                <w:sz w:val="32"/>
                <w:szCs w:val="32"/>
              </w:rPr>
              <w:t>项</w:t>
            </w:r>
          </w:p>
        </w:tc>
        <w:tc>
          <w:tcPr>
            <w:tcW w:w="104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w:t>
            </w:r>
          </w:p>
        </w:tc>
        <w:tc>
          <w:tcPr>
            <w:tcW w:w="101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74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754" w:type="dxa"/>
            <w:tcBorders>
              <w:top w:val="single" w:color="000000" w:sz="4" w:space="0"/>
              <w:left w:val="single" w:color="000000" w:sz="4" w:space="0"/>
              <w:bottom w:val="single" w:color="000000" w:sz="4" w:space="0"/>
              <w:right w:val="single" w:color="000000" w:sz="4" w:space="0"/>
            </w:tcBorders>
            <w:noWrap/>
          </w:tcPr>
          <w:p>
            <w:pPr>
              <w:pStyle w:val="38"/>
              <w:spacing w:before="89" w:line="221" w:lineRule="auto"/>
              <w:ind w:left="111"/>
              <w:jc w:val="both"/>
              <w:rPr>
                <w:rFonts w:hint="eastAsia" w:ascii="仿宋" w:hAnsi="仿宋" w:eastAsia="仿宋" w:cs="仿宋"/>
                <w:sz w:val="32"/>
                <w:szCs w:val="32"/>
              </w:rPr>
            </w:pPr>
            <w:r>
              <w:rPr>
                <w:rFonts w:hint="eastAsia" w:ascii="仿宋" w:hAnsi="仿宋" w:eastAsia="仿宋" w:cs="仿宋"/>
                <w:spacing w:val="1"/>
                <w:sz w:val="32"/>
                <w:szCs w:val="32"/>
              </w:rPr>
              <w:t>非学历培训学时*</w:t>
            </w:r>
          </w:p>
        </w:tc>
        <w:tc>
          <w:tcPr>
            <w:tcW w:w="779" w:type="dxa"/>
            <w:tcBorders>
              <w:top w:val="single" w:color="000000" w:sz="4" w:space="0"/>
              <w:left w:val="single" w:color="000000" w:sz="4" w:space="0"/>
              <w:bottom w:val="single" w:color="000000" w:sz="4" w:space="0"/>
              <w:right w:val="single" w:color="000000" w:sz="4" w:space="0"/>
            </w:tcBorders>
            <w:noWrap/>
          </w:tcPr>
          <w:p>
            <w:pPr>
              <w:pStyle w:val="38"/>
              <w:spacing w:before="90" w:line="221" w:lineRule="auto"/>
              <w:ind w:left="147"/>
              <w:jc w:val="both"/>
              <w:rPr>
                <w:rFonts w:hint="eastAsia" w:ascii="仿宋" w:hAnsi="仿宋" w:eastAsia="仿宋" w:cs="仿宋"/>
                <w:sz w:val="32"/>
                <w:szCs w:val="32"/>
              </w:rPr>
            </w:pPr>
            <w:r>
              <w:rPr>
                <w:rFonts w:hint="eastAsia" w:ascii="仿宋" w:hAnsi="仿宋" w:eastAsia="仿宋" w:cs="仿宋"/>
                <w:spacing w:val="7"/>
                <w:sz w:val="32"/>
                <w:szCs w:val="32"/>
              </w:rPr>
              <w:t>学时</w:t>
            </w:r>
          </w:p>
        </w:tc>
        <w:tc>
          <w:tcPr>
            <w:tcW w:w="104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780</w:t>
            </w:r>
          </w:p>
        </w:tc>
        <w:tc>
          <w:tcPr>
            <w:tcW w:w="101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840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744" w:type="dxa"/>
            <w:vMerge w:val="continue"/>
            <w:tcBorders>
              <w:top w:val="nil"/>
              <w:left w:val="single" w:color="000000" w:sz="4" w:space="0"/>
              <w:bottom w:val="single" w:color="000000" w:sz="4" w:space="0"/>
              <w:right w:val="single" w:color="000000" w:sz="4" w:space="0"/>
            </w:tcBorders>
            <w:noWrap/>
          </w:tcPr>
          <w:p>
            <w:pPr>
              <w:rPr>
                <w:rFonts w:hint="eastAsia" w:ascii="仿宋" w:hAnsi="仿宋" w:eastAsia="仿宋" w:cs="仿宋"/>
                <w:sz w:val="32"/>
                <w:szCs w:val="32"/>
              </w:rPr>
            </w:pPr>
          </w:p>
        </w:tc>
        <w:tc>
          <w:tcPr>
            <w:tcW w:w="4754" w:type="dxa"/>
            <w:tcBorders>
              <w:top w:val="single" w:color="000000" w:sz="4" w:space="0"/>
              <w:left w:val="single" w:color="000000" w:sz="4" w:space="0"/>
              <w:bottom w:val="single" w:color="000000" w:sz="4" w:space="0"/>
              <w:right w:val="single" w:color="000000" w:sz="4" w:space="0"/>
            </w:tcBorders>
            <w:noWrap/>
          </w:tcPr>
          <w:p>
            <w:pPr>
              <w:pStyle w:val="38"/>
              <w:spacing w:before="90" w:line="221" w:lineRule="auto"/>
              <w:ind w:left="111"/>
              <w:jc w:val="both"/>
              <w:rPr>
                <w:rFonts w:hint="eastAsia" w:ascii="仿宋" w:hAnsi="仿宋" w:eastAsia="仿宋" w:cs="仿宋"/>
                <w:sz w:val="32"/>
                <w:szCs w:val="32"/>
              </w:rPr>
            </w:pPr>
            <w:r>
              <w:rPr>
                <w:rFonts w:hint="eastAsia" w:ascii="仿宋" w:hAnsi="仿宋" w:eastAsia="仿宋" w:cs="仿宋"/>
                <w:spacing w:val="1"/>
                <w:sz w:val="32"/>
                <w:szCs w:val="32"/>
              </w:rPr>
              <w:t>公益项目培训学时*</w:t>
            </w:r>
          </w:p>
        </w:tc>
        <w:tc>
          <w:tcPr>
            <w:tcW w:w="779" w:type="dxa"/>
            <w:tcBorders>
              <w:top w:val="single" w:color="000000" w:sz="4" w:space="0"/>
              <w:left w:val="single" w:color="000000" w:sz="4" w:space="0"/>
              <w:bottom w:val="single" w:color="000000" w:sz="4" w:space="0"/>
              <w:right w:val="single" w:color="000000" w:sz="4" w:space="0"/>
            </w:tcBorders>
            <w:noWrap/>
          </w:tcPr>
          <w:p>
            <w:pPr>
              <w:pStyle w:val="38"/>
              <w:spacing w:before="91" w:line="221" w:lineRule="auto"/>
              <w:ind w:left="147"/>
              <w:jc w:val="both"/>
              <w:rPr>
                <w:rFonts w:hint="eastAsia" w:ascii="仿宋" w:hAnsi="仿宋" w:eastAsia="仿宋" w:cs="仿宋"/>
                <w:sz w:val="32"/>
                <w:szCs w:val="32"/>
              </w:rPr>
            </w:pPr>
            <w:r>
              <w:rPr>
                <w:rFonts w:hint="eastAsia" w:ascii="仿宋" w:hAnsi="仿宋" w:eastAsia="仿宋" w:cs="仿宋"/>
                <w:spacing w:val="7"/>
                <w:sz w:val="32"/>
                <w:szCs w:val="32"/>
              </w:rPr>
              <w:t>学时</w:t>
            </w:r>
          </w:p>
        </w:tc>
        <w:tc>
          <w:tcPr>
            <w:tcW w:w="104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101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744" w:type="dxa"/>
            <w:tcBorders>
              <w:top w:val="single" w:color="000000" w:sz="4" w:space="0"/>
              <w:left w:val="single" w:color="000000" w:sz="4" w:space="0"/>
              <w:bottom w:val="single" w:color="000000" w:sz="4" w:space="0"/>
              <w:right w:val="single" w:color="000000" w:sz="4" w:space="0"/>
            </w:tcBorders>
            <w:noWrap/>
          </w:tcPr>
          <w:p>
            <w:pPr>
              <w:pStyle w:val="38"/>
              <w:spacing w:before="151" w:line="182" w:lineRule="auto"/>
              <w:ind w:left="305"/>
              <w:jc w:val="both"/>
              <w:rPr>
                <w:rFonts w:hint="eastAsia" w:ascii="仿宋" w:hAnsi="仿宋" w:eastAsia="仿宋" w:cs="仿宋"/>
                <w:sz w:val="32"/>
                <w:szCs w:val="32"/>
              </w:rPr>
            </w:pPr>
            <w:r>
              <w:rPr>
                <w:rFonts w:hint="eastAsia" w:ascii="仿宋" w:hAnsi="仿宋" w:eastAsia="仿宋" w:cs="仿宋"/>
                <w:sz w:val="32"/>
                <w:szCs w:val="32"/>
              </w:rPr>
              <w:t>9</w:t>
            </w:r>
          </w:p>
        </w:tc>
        <w:tc>
          <w:tcPr>
            <w:tcW w:w="4754" w:type="dxa"/>
            <w:tcBorders>
              <w:top w:val="single" w:color="000000" w:sz="4" w:space="0"/>
              <w:left w:val="single" w:color="000000" w:sz="4" w:space="0"/>
              <w:bottom w:val="single" w:color="000000" w:sz="4" w:space="0"/>
              <w:right w:val="single" w:color="000000" w:sz="4" w:space="0"/>
            </w:tcBorders>
            <w:noWrap/>
          </w:tcPr>
          <w:p>
            <w:pPr>
              <w:pStyle w:val="38"/>
              <w:spacing w:before="90" w:line="221" w:lineRule="auto"/>
              <w:ind w:left="111"/>
              <w:jc w:val="both"/>
              <w:rPr>
                <w:rFonts w:hint="eastAsia" w:ascii="仿宋" w:hAnsi="仿宋" w:eastAsia="仿宋" w:cs="仿宋"/>
                <w:sz w:val="32"/>
                <w:szCs w:val="32"/>
              </w:rPr>
            </w:pPr>
            <w:r>
              <w:rPr>
                <w:rFonts w:hint="eastAsia" w:ascii="仿宋" w:hAnsi="仿宋" w:eastAsia="仿宋" w:cs="仿宋"/>
                <w:spacing w:val="1"/>
                <w:sz w:val="32"/>
                <w:szCs w:val="32"/>
              </w:rPr>
              <w:t>非学历培训到账经费</w:t>
            </w:r>
          </w:p>
        </w:tc>
        <w:tc>
          <w:tcPr>
            <w:tcW w:w="779" w:type="dxa"/>
            <w:tcBorders>
              <w:top w:val="single" w:color="000000" w:sz="4" w:space="0"/>
              <w:left w:val="single" w:color="000000" w:sz="4" w:space="0"/>
              <w:bottom w:val="single" w:color="000000" w:sz="4" w:space="0"/>
              <w:right w:val="single" w:color="000000" w:sz="4" w:space="0"/>
            </w:tcBorders>
            <w:noWrap/>
          </w:tcPr>
          <w:p>
            <w:pPr>
              <w:pStyle w:val="38"/>
              <w:spacing w:before="90" w:line="221" w:lineRule="auto"/>
              <w:ind w:left="147"/>
              <w:jc w:val="both"/>
              <w:rPr>
                <w:rFonts w:hint="eastAsia" w:ascii="仿宋" w:hAnsi="仿宋" w:eastAsia="仿宋" w:cs="仿宋"/>
                <w:sz w:val="32"/>
                <w:szCs w:val="32"/>
              </w:rPr>
            </w:pPr>
            <w:r>
              <w:rPr>
                <w:rFonts w:hint="eastAsia" w:ascii="仿宋" w:hAnsi="仿宋" w:eastAsia="仿宋" w:cs="仿宋"/>
                <w:spacing w:val="5"/>
                <w:sz w:val="32"/>
                <w:szCs w:val="32"/>
              </w:rPr>
              <w:t>万元</w:t>
            </w:r>
          </w:p>
        </w:tc>
        <w:tc>
          <w:tcPr>
            <w:tcW w:w="104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50</w:t>
            </w:r>
          </w:p>
        </w:tc>
        <w:tc>
          <w:tcPr>
            <w:tcW w:w="101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50</w:t>
            </w:r>
          </w:p>
        </w:tc>
      </w:tr>
    </w:tbl>
    <w:p>
      <w:pPr>
        <w:rPr>
          <w:rFonts w:hint="eastAsia"/>
          <w:lang w:val="en-US" w:eastAsia="zh-CN"/>
        </w:rPr>
      </w:pPr>
    </w:p>
    <w:p>
      <w:pPr>
        <w:pStyle w:val="2"/>
        <w:rPr>
          <w:rFonts w:hint="eastAsia"/>
          <w:lang w:val="en-US" w:eastAsia="zh-CN"/>
        </w:rPr>
      </w:pPr>
    </w:p>
    <w:p>
      <w:pPr>
        <w:pStyle w:val="3"/>
        <w:rPr>
          <w:rFonts w:hint="eastAsia"/>
          <w:lang w:val="en-US" w:eastAsia="zh-CN"/>
        </w:rPr>
      </w:pPr>
    </w:p>
    <w:p>
      <w:pPr>
        <w:rPr>
          <w:rFonts w:hint="eastAsia"/>
          <w:lang w:val="en-US" w:eastAsia="zh-CN"/>
        </w:rPr>
      </w:pPr>
    </w:p>
    <w:p>
      <w:pPr>
        <w:pStyle w:val="2"/>
        <w:rPr>
          <w:rFonts w:hint="eastAsia"/>
          <w:lang w:val="en-US" w:eastAsia="zh-CN"/>
        </w:rPr>
      </w:pPr>
    </w:p>
    <w:p>
      <w:pPr>
        <w:pStyle w:val="3"/>
        <w:rPr>
          <w:rFonts w:hint="eastAsia"/>
          <w:lang w:val="en-US" w:eastAsia="zh-CN"/>
        </w:rPr>
      </w:pPr>
    </w:p>
    <w:p>
      <w:pPr>
        <w:rPr>
          <w:rFonts w:hint="eastAsia"/>
          <w:lang w:val="en-US" w:eastAsia="zh-CN"/>
        </w:rPr>
      </w:pPr>
    </w:p>
    <w:p>
      <w:pPr>
        <w:pStyle w:val="2"/>
        <w:rPr>
          <w:rFonts w:hint="eastAsia"/>
          <w:lang w:val="en-US" w:eastAsia="zh-CN"/>
        </w:rPr>
      </w:pPr>
    </w:p>
    <w:p>
      <w:pPr>
        <w:pStyle w:val="3"/>
        <w:rPr>
          <w:rFonts w:hint="eastAsia"/>
          <w:lang w:val="en-US" w:eastAsia="zh-CN"/>
        </w:rPr>
      </w:pPr>
    </w:p>
    <w:p>
      <w:pPr>
        <w:rPr>
          <w:rFonts w:hint="eastAsia"/>
          <w:lang w:val="en-US" w:eastAsia="zh-CN"/>
        </w:rPr>
      </w:pPr>
    </w:p>
    <w:p>
      <w:pPr>
        <w:pStyle w:val="2"/>
        <w:rPr>
          <w:rFonts w:hint="eastAsia"/>
          <w:lang w:val="en-US" w:eastAsia="zh-CN"/>
        </w:rPr>
      </w:pPr>
    </w:p>
    <w:p>
      <w:pPr>
        <w:pStyle w:val="3"/>
        <w:rPr>
          <w:rFonts w:hint="eastAsia"/>
          <w:lang w:val="en-US" w:eastAsia="zh-CN"/>
        </w:rPr>
      </w:pPr>
    </w:p>
    <w:p>
      <w:pPr>
        <w:spacing w:before="16" w:line="223" w:lineRule="auto"/>
        <w:ind w:left="3344"/>
        <w:jc w:val="both"/>
        <w:rPr>
          <w:rFonts w:hint="eastAsia" w:ascii="仿宋" w:hAnsi="仿宋" w:eastAsia="仿宋" w:cs="仿宋"/>
          <w:sz w:val="32"/>
          <w:szCs w:val="32"/>
        </w:rPr>
      </w:pPr>
      <w:r>
        <w:rPr>
          <w:rFonts w:hint="eastAsia" w:ascii="仿宋" w:hAnsi="仿宋" w:eastAsia="仿宋" w:cs="仿宋"/>
          <w:b/>
          <w:bCs/>
          <w:spacing w:val="-13"/>
          <w:sz w:val="32"/>
          <w:szCs w:val="32"/>
        </w:rPr>
        <w:t>表</w:t>
      </w:r>
      <w:r>
        <w:rPr>
          <w:rFonts w:hint="default" w:ascii="仿宋" w:hAnsi="仿宋" w:eastAsia="仿宋" w:cs="仿宋"/>
          <w:b/>
          <w:bCs/>
          <w:spacing w:val="-13"/>
          <w:sz w:val="32"/>
          <w:szCs w:val="32"/>
          <w:lang w:val="en-US"/>
        </w:rPr>
        <w:t>4</w:t>
      </w:r>
      <w:r>
        <w:rPr>
          <w:rFonts w:hint="eastAsia" w:ascii="仿宋" w:hAnsi="仿宋" w:eastAsia="仿宋" w:cs="仿宋"/>
          <w:b/>
          <w:bCs/>
          <w:spacing w:val="-13"/>
          <w:sz w:val="32"/>
          <w:szCs w:val="32"/>
        </w:rPr>
        <w:t>国际影响表</w:t>
      </w:r>
    </w:p>
    <w:p>
      <w:pPr>
        <w:spacing w:line="102" w:lineRule="exact"/>
        <w:jc w:val="both"/>
        <w:rPr>
          <w:rFonts w:hint="eastAsia" w:ascii="仿宋" w:hAnsi="仿宋" w:eastAsia="仿宋" w:cs="仿宋"/>
          <w:sz w:val="32"/>
          <w:szCs w:val="32"/>
        </w:rPr>
      </w:pPr>
    </w:p>
    <w:tbl>
      <w:tblPr>
        <w:tblStyle w:val="25"/>
        <w:tblW w:w="8340" w:type="dxa"/>
        <w:tblInd w:w="2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4"/>
        <w:gridCol w:w="4764"/>
        <w:gridCol w:w="759"/>
        <w:gridCol w:w="1089"/>
        <w:gridCol w:w="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34" w:type="dxa"/>
            <w:tcBorders>
              <w:top w:val="single" w:color="000000" w:sz="4" w:space="0"/>
              <w:left w:val="single" w:color="000000" w:sz="4" w:space="0"/>
              <w:bottom w:val="single" w:color="000000" w:sz="4" w:space="0"/>
              <w:right w:val="single" w:color="000000" w:sz="4" w:space="0"/>
            </w:tcBorders>
            <w:noWrap/>
          </w:tcPr>
          <w:p>
            <w:pPr>
              <w:pStyle w:val="38"/>
              <w:spacing w:before="112" w:line="221" w:lineRule="auto"/>
              <w:ind w:left="118"/>
              <w:jc w:val="both"/>
              <w:rPr>
                <w:rFonts w:hint="eastAsia" w:ascii="仿宋" w:hAnsi="仿宋" w:eastAsia="仿宋" w:cs="仿宋"/>
                <w:sz w:val="32"/>
                <w:szCs w:val="32"/>
              </w:rPr>
            </w:pPr>
            <w:r>
              <w:rPr>
                <w:rFonts w:hint="eastAsia" w:ascii="仿宋" w:hAnsi="仿宋" w:eastAsia="仿宋" w:cs="仿宋"/>
                <w:b/>
                <w:bCs/>
                <w:spacing w:val="-5"/>
                <w:sz w:val="32"/>
                <w:szCs w:val="32"/>
              </w:rPr>
              <w:t>序号</w:t>
            </w:r>
          </w:p>
        </w:tc>
        <w:tc>
          <w:tcPr>
            <w:tcW w:w="4764" w:type="dxa"/>
            <w:tcBorders>
              <w:top w:val="single" w:color="000000" w:sz="4" w:space="0"/>
              <w:left w:val="single" w:color="000000" w:sz="4" w:space="0"/>
              <w:bottom w:val="single" w:color="000000" w:sz="4" w:space="0"/>
              <w:right w:val="single" w:color="000000" w:sz="4" w:space="0"/>
            </w:tcBorders>
            <w:noWrap/>
          </w:tcPr>
          <w:p>
            <w:pPr>
              <w:pStyle w:val="38"/>
              <w:spacing w:before="112" w:line="221" w:lineRule="auto"/>
              <w:ind w:left="2134"/>
              <w:jc w:val="both"/>
              <w:rPr>
                <w:rFonts w:hint="eastAsia" w:ascii="仿宋" w:hAnsi="仿宋" w:eastAsia="仿宋" w:cs="仿宋"/>
                <w:sz w:val="32"/>
                <w:szCs w:val="32"/>
              </w:rPr>
            </w:pPr>
            <w:r>
              <w:rPr>
                <w:rFonts w:hint="eastAsia" w:ascii="仿宋" w:hAnsi="仿宋" w:eastAsia="仿宋" w:cs="仿宋"/>
                <w:b/>
                <w:bCs/>
                <w:spacing w:val="-6"/>
                <w:sz w:val="32"/>
                <w:szCs w:val="32"/>
              </w:rPr>
              <w:t>指标</w:t>
            </w:r>
          </w:p>
        </w:tc>
        <w:tc>
          <w:tcPr>
            <w:tcW w:w="759" w:type="dxa"/>
            <w:tcBorders>
              <w:top w:val="single" w:color="000000" w:sz="4" w:space="0"/>
              <w:left w:val="single" w:color="000000" w:sz="4" w:space="0"/>
              <w:bottom w:val="single" w:color="000000" w:sz="4" w:space="0"/>
              <w:right w:val="single" w:color="000000" w:sz="4" w:space="0"/>
            </w:tcBorders>
            <w:noWrap/>
          </w:tcPr>
          <w:p>
            <w:pPr>
              <w:pStyle w:val="38"/>
              <w:spacing w:before="112" w:line="221" w:lineRule="auto"/>
              <w:ind w:left="140"/>
              <w:jc w:val="both"/>
              <w:rPr>
                <w:rFonts w:hint="eastAsia" w:ascii="仿宋" w:hAnsi="仿宋" w:eastAsia="仿宋" w:cs="仿宋"/>
                <w:sz w:val="32"/>
                <w:szCs w:val="32"/>
              </w:rPr>
            </w:pPr>
            <w:r>
              <w:rPr>
                <w:rFonts w:hint="eastAsia" w:ascii="仿宋" w:hAnsi="仿宋" w:eastAsia="仿宋" w:cs="仿宋"/>
                <w:b/>
                <w:bCs/>
                <w:spacing w:val="-6"/>
                <w:sz w:val="32"/>
                <w:szCs w:val="32"/>
              </w:rPr>
              <w:t>单位</w:t>
            </w:r>
          </w:p>
        </w:tc>
        <w:tc>
          <w:tcPr>
            <w:tcW w:w="1089" w:type="dxa"/>
            <w:tcBorders>
              <w:top w:val="single" w:color="000000" w:sz="4" w:space="0"/>
              <w:left w:val="single" w:color="000000" w:sz="4" w:space="0"/>
              <w:bottom w:val="single" w:color="000000" w:sz="4" w:space="0"/>
              <w:right w:val="single" w:color="000000" w:sz="4" w:space="0"/>
            </w:tcBorders>
            <w:noWrap/>
          </w:tcPr>
          <w:p>
            <w:pPr>
              <w:pStyle w:val="38"/>
              <w:spacing w:before="111" w:line="218" w:lineRule="auto"/>
              <w:ind w:left="181"/>
              <w:jc w:val="both"/>
              <w:rPr>
                <w:rFonts w:hint="eastAsia" w:ascii="仿宋" w:hAnsi="仿宋" w:eastAsia="仿宋" w:cs="仿宋"/>
                <w:sz w:val="32"/>
                <w:szCs w:val="32"/>
              </w:rPr>
            </w:pPr>
            <w:r>
              <w:rPr>
                <w:rFonts w:hint="eastAsia" w:ascii="仿宋" w:hAnsi="仿宋" w:eastAsia="仿宋" w:cs="仿宋"/>
                <w:b/>
                <w:bCs/>
                <w:spacing w:val="-5"/>
                <w:sz w:val="32"/>
                <w:szCs w:val="32"/>
              </w:rPr>
              <w:t>2023年</w:t>
            </w:r>
          </w:p>
        </w:tc>
        <w:tc>
          <w:tcPr>
            <w:tcW w:w="994" w:type="dxa"/>
            <w:tcBorders>
              <w:top w:val="single" w:color="000000" w:sz="4" w:space="0"/>
              <w:left w:val="single" w:color="000000" w:sz="4" w:space="0"/>
              <w:bottom w:val="single" w:color="000000" w:sz="4" w:space="0"/>
              <w:right w:val="single" w:color="000000" w:sz="4" w:space="0"/>
            </w:tcBorders>
            <w:noWrap/>
          </w:tcPr>
          <w:p>
            <w:pPr>
              <w:pStyle w:val="38"/>
              <w:spacing w:before="111" w:line="218" w:lineRule="auto"/>
              <w:ind w:left="112"/>
              <w:jc w:val="both"/>
              <w:rPr>
                <w:rFonts w:hint="eastAsia" w:ascii="仿宋" w:hAnsi="仿宋" w:eastAsia="仿宋" w:cs="仿宋"/>
                <w:sz w:val="32"/>
                <w:szCs w:val="32"/>
              </w:rPr>
            </w:pPr>
            <w:r>
              <w:rPr>
                <w:rFonts w:hint="eastAsia" w:ascii="仿宋" w:hAnsi="仿宋" w:eastAsia="仿宋" w:cs="仿宋"/>
                <w:b/>
                <w:bCs/>
                <w:spacing w:val="-5"/>
                <w:sz w:val="32"/>
                <w:szCs w:val="32"/>
              </w:rPr>
              <w:t>2024年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734" w:type="dxa"/>
            <w:vMerge w:val="restart"/>
            <w:tcBorders>
              <w:top w:val="single" w:color="000000" w:sz="4" w:space="0"/>
              <w:left w:val="single" w:color="000000" w:sz="4" w:space="0"/>
              <w:bottom w:val="nil"/>
              <w:right w:val="single" w:color="000000" w:sz="4" w:space="0"/>
            </w:tcBorders>
            <w:noWrap/>
          </w:tcPr>
          <w:p>
            <w:pPr>
              <w:spacing w:line="264" w:lineRule="auto"/>
              <w:jc w:val="both"/>
              <w:rPr>
                <w:rFonts w:hint="eastAsia" w:ascii="仿宋" w:hAnsi="仿宋" w:eastAsia="仿宋" w:cs="仿宋"/>
                <w:sz w:val="32"/>
                <w:szCs w:val="32"/>
              </w:rPr>
            </w:pPr>
          </w:p>
          <w:p>
            <w:pPr>
              <w:spacing w:line="264" w:lineRule="auto"/>
              <w:jc w:val="both"/>
              <w:rPr>
                <w:rFonts w:hint="eastAsia" w:ascii="仿宋" w:hAnsi="仿宋" w:eastAsia="仿宋" w:cs="仿宋"/>
                <w:sz w:val="32"/>
                <w:szCs w:val="32"/>
              </w:rPr>
            </w:pPr>
          </w:p>
          <w:p>
            <w:pPr>
              <w:spacing w:line="264" w:lineRule="auto"/>
              <w:jc w:val="both"/>
              <w:rPr>
                <w:rFonts w:hint="eastAsia" w:ascii="仿宋" w:hAnsi="仿宋" w:eastAsia="仿宋" w:cs="仿宋"/>
                <w:sz w:val="32"/>
                <w:szCs w:val="32"/>
              </w:rPr>
            </w:pPr>
          </w:p>
          <w:p>
            <w:pPr>
              <w:spacing w:line="264" w:lineRule="auto"/>
              <w:jc w:val="both"/>
              <w:rPr>
                <w:rFonts w:hint="eastAsia" w:ascii="仿宋" w:hAnsi="仿宋" w:eastAsia="仿宋" w:cs="仿宋"/>
                <w:sz w:val="32"/>
                <w:szCs w:val="32"/>
              </w:rPr>
            </w:pPr>
          </w:p>
          <w:p>
            <w:pPr>
              <w:spacing w:line="264" w:lineRule="auto"/>
              <w:jc w:val="both"/>
              <w:rPr>
                <w:rFonts w:hint="eastAsia" w:ascii="仿宋" w:hAnsi="仿宋" w:eastAsia="仿宋" w:cs="仿宋"/>
                <w:sz w:val="32"/>
                <w:szCs w:val="32"/>
              </w:rPr>
            </w:pPr>
          </w:p>
          <w:p>
            <w:pPr>
              <w:pStyle w:val="38"/>
              <w:spacing w:before="78" w:line="185" w:lineRule="auto"/>
              <w:ind w:left="295"/>
              <w:jc w:val="both"/>
              <w:rPr>
                <w:rFonts w:hint="eastAsia" w:ascii="仿宋" w:hAnsi="仿宋" w:eastAsia="仿宋" w:cs="仿宋"/>
                <w:sz w:val="32"/>
                <w:szCs w:val="32"/>
              </w:rPr>
            </w:pPr>
            <w:r>
              <w:rPr>
                <w:rFonts w:hint="eastAsia" w:ascii="仿宋" w:hAnsi="仿宋" w:eastAsia="仿宋" w:cs="仿宋"/>
                <w:sz w:val="32"/>
                <w:szCs w:val="32"/>
              </w:rPr>
              <w:t>1</w:t>
            </w:r>
          </w:p>
        </w:tc>
        <w:tc>
          <w:tcPr>
            <w:tcW w:w="4764" w:type="dxa"/>
            <w:tcBorders>
              <w:top w:val="single" w:color="000000" w:sz="4" w:space="0"/>
              <w:left w:val="single" w:color="000000" w:sz="4" w:space="0"/>
              <w:bottom w:val="single" w:color="000000" w:sz="4" w:space="0"/>
              <w:right w:val="single" w:color="000000" w:sz="4" w:space="0"/>
            </w:tcBorders>
            <w:noWrap/>
          </w:tcPr>
          <w:p>
            <w:pPr>
              <w:pStyle w:val="38"/>
              <w:spacing w:before="48" w:line="216" w:lineRule="auto"/>
              <w:ind w:left="121" w:right="545" w:hanging="10"/>
              <w:jc w:val="both"/>
              <w:rPr>
                <w:rFonts w:hint="eastAsia" w:ascii="仿宋" w:hAnsi="仿宋" w:eastAsia="仿宋" w:cs="仿宋"/>
                <w:sz w:val="32"/>
                <w:szCs w:val="32"/>
              </w:rPr>
            </w:pPr>
            <w:r>
              <w:rPr>
                <w:rFonts w:hint="eastAsia" w:ascii="仿宋" w:hAnsi="仿宋" w:eastAsia="仿宋" w:cs="仿宋"/>
                <w:spacing w:val="1"/>
                <w:sz w:val="32"/>
                <w:szCs w:val="32"/>
              </w:rPr>
              <w:t>开发并被国外采用的职业教育标准、资</w:t>
            </w:r>
            <w:r>
              <w:rPr>
                <w:rFonts w:hint="eastAsia" w:ascii="仿宋" w:hAnsi="仿宋" w:eastAsia="仿宋" w:cs="仿宋"/>
                <w:sz w:val="32"/>
                <w:szCs w:val="32"/>
              </w:rPr>
              <w:t xml:space="preserve"> </w:t>
            </w:r>
            <w:r>
              <w:rPr>
                <w:rFonts w:hint="eastAsia" w:ascii="仿宋" w:hAnsi="仿宋" w:eastAsia="仿宋" w:cs="仿宋"/>
                <w:spacing w:val="-2"/>
                <w:sz w:val="32"/>
                <w:szCs w:val="32"/>
              </w:rPr>
              <w:t>源、装备数量</w:t>
            </w:r>
          </w:p>
        </w:tc>
        <w:tc>
          <w:tcPr>
            <w:tcW w:w="759" w:type="dxa"/>
            <w:tcBorders>
              <w:top w:val="single" w:color="000000" w:sz="4" w:space="0"/>
              <w:left w:val="single" w:color="000000" w:sz="4" w:space="0"/>
              <w:bottom w:val="single" w:color="000000" w:sz="4" w:space="0"/>
              <w:right w:val="single" w:color="000000" w:sz="4" w:space="0"/>
            </w:tcBorders>
            <w:noWrap/>
          </w:tcPr>
          <w:p>
            <w:pPr>
              <w:pStyle w:val="38"/>
              <w:spacing w:before="191" w:line="218" w:lineRule="auto"/>
              <w:ind w:left="257"/>
              <w:jc w:val="both"/>
              <w:rPr>
                <w:rFonts w:hint="eastAsia" w:ascii="仿宋" w:hAnsi="仿宋" w:eastAsia="仿宋" w:cs="仿宋"/>
                <w:sz w:val="32"/>
                <w:szCs w:val="32"/>
              </w:rPr>
            </w:pPr>
            <w:r>
              <w:rPr>
                <w:rFonts w:hint="eastAsia" w:ascii="仿宋" w:hAnsi="仿宋" w:eastAsia="仿宋" w:cs="仿宋"/>
                <w:sz w:val="32"/>
                <w:szCs w:val="32"/>
              </w:rPr>
              <w:t>个</w:t>
            </w:r>
          </w:p>
        </w:tc>
        <w:tc>
          <w:tcPr>
            <w:tcW w:w="108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9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764" w:type="dxa"/>
            <w:tcBorders>
              <w:top w:val="single" w:color="000000" w:sz="4" w:space="0"/>
              <w:left w:val="single" w:color="000000" w:sz="4" w:space="0"/>
              <w:bottom w:val="single" w:color="000000" w:sz="4" w:space="0"/>
              <w:right w:val="single" w:color="000000" w:sz="4" w:space="0"/>
            </w:tcBorders>
            <w:noWrap/>
          </w:tcPr>
          <w:p>
            <w:pPr>
              <w:pStyle w:val="38"/>
              <w:spacing w:before="113" w:line="218" w:lineRule="auto"/>
              <w:ind w:left="121"/>
              <w:jc w:val="both"/>
              <w:rPr>
                <w:rFonts w:hint="eastAsia" w:ascii="仿宋" w:hAnsi="仿宋" w:eastAsia="仿宋" w:cs="仿宋"/>
                <w:sz w:val="32"/>
                <w:szCs w:val="32"/>
              </w:rPr>
            </w:pPr>
            <w:r>
              <w:rPr>
                <w:rFonts w:hint="eastAsia" w:ascii="仿宋" w:hAnsi="仿宋" w:eastAsia="仿宋" w:cs="仿宋"/>
                <w:spacing w:val="-2"/>
                <w:sz w:val="32"/>
                <w:szCs w:val="32"/>
              </w:rPr>
              <w:t>其中：标准数量</w:t>
            </w:r>
          </w:p>
        </w:tc>
        <w:tc>
          <w:tcPr>
            <w:tcW w:w="759" w:type="dxa"/>
            <w:tcBorders>
              <w:top w:val="single" w:color="000000" w:sz="4" w:space="0"/>
              <w:left w:val="single" w:color="000000" w:sz="4" w:space="0"/>
              <w:bottom w:val="single" w:color="000000" w:sz="4" w:space="0"/>
              <w:right w:val="single" w:color="000000" w:sz="4" w:space="0"/>
            </w:tcBorders>
            <w:noWrap/>
          </w:tcPr>
          <w:p>
            <w:pPr>
              <w:pStyle w:val="38"/>
              <w:spacing w:before="113" w:line="218" w:lineRule="auto"/>
              <w:ind w:left="257"/>
              <w:jc w:val="both"/>
              <w:rPr>
                <w:rFonts w:hint="eastAsia" w:ascii="仿宋" w:hAnsi="仿宋" w:eastAsia="仿宋" w:cs="仿宋"/>
                <w:sz w:val="32"/>
                <w:szCs w:val="32"/>
              </w:rPr>
            </w:pPr>
            <w:r>
              <w:rPr>
                <w:rFonts w:hint="eastAsia" w:ascii="仿宋" w:hAnsi="仿宋" w:eastAsia="仿宋" w:cs="仿宋"/>
                <w:sz w:val="32"/>
                <w:szCs w:val="32"/>
              </w:rPr>
              <w:t>个</w:t>
            </w:r>
          </w:p>
        </w:tc>
        <w:tc>
          <w:tcPr>
            <w:tcW w:w="108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9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764" w:type="dxa"/>
            <w:tcBorders>
              <w:top w:val="single" w:color="000000" w:sz="4" w:space="0"/>
              <w:left w:val="single" w:color="000000" w:sz="4" w:space="0"/>
              <w:bottom w:val="single" w:color="000000" w:sz="4" w:space="0"/>
              <w:right w:val="single" w:color="000000" w:sz="4" w:space="0"/>
            </w:tcBorders>
            <w:noWrap/>
          </w:tcPr>
          <w:p>
            <w:pPr>
              <w:pStyle w:val="38"/>
              <w:spacing w:before="114" w:line="218" w:lineRule="auto"/>
              <w:ind w:left="121"/>
              <w:jc w:val="both"/>
              <w:rPr>
                <w:rFonts w:hint="eastAsia" w:ascii="仿宋" w:hAnsi="仿宋" w:eastAsia="仿宋" w:cs="仿宋"/>
                <w:sz w:val="32"/>
                <w:szCs w:val="32"/>
              </w:rPr>
            </w:pPr>
            <w:r>
              <w:rPr>
                <w:rFonts w:hint="eastAsia" w:ascii="仿宋" w:hAnsi="仿宋" w:eastAsia="仿宋" w:cs="仿宋"/>
                <w:spacing w:val="-2"/>
                <w:sz w:val="32"/>
                <w:szCs w:val="32"/>
              </w:rPr>
              <w:t>专业标准数量</w:t>
            </w:r>
          </w:p>
        </w:tc>
        <w:tc>
          <w:tcPr>
            <w:tcW w:w="759" w:type="dxa"/>
            <w:tcBorders>
              <w:top w:val="single" w:color="000000" w:sz="4" w:space="0"/>
              <w:left w:val="single" w:color="000000" w:sz="4" w:space="0"/>
              <w:bottom w:val="single" w:color="000000" w:sz="4" w:space="0"/>
              <w:right w:val="single" w:color="000000" w:sz="4" w:space="0"/>
            </w:tcBorders>
            <w:noWrap/>
          </w:tcPr>
          <w:p>
            <w:pPr>
              <w:pStyle w:val="38"/>
              <w:spacing w:before="114" w:line="218" w:lineRule="auto"/>
              <w:ind w:left="257"/>
              <w:jc w:val="both"/>
              <w:rPr>
                <w:rFonts w:hint="eastAsia" w:ascii="仿宋" w:hAnsi="仿宋" w:eastAsia="仿宋" w:cs="仿宋"/>
                <w:sz w:val="32"/>
                <w:szCs w:val="32"/>
              </w:rPr>
            </w:pPr>
            <w:r>
              <w:rPr>
                <w:rFonts w:hint="eastAsia" w:ascii="仿宋" w:hAnsi="仿宋" w:eastAsia="仿宋" w:cs="仿宋"/>
                <w:sz w:val="32"/>
                <w:szCs w:val="32"/>
              </w:rPr>
              <w:t>个</w:t>
            </w:r>
          </w:p>
        </w:tc>
        <w:tc>
          <w:tcPr>
            <w:tcW w:w="108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9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764" w:type="dxa"/>
            <w:tcBorders>
              <w:top w:val="single" w:color="000000" w:sz="4" w:space="0"/>
              <w:left w:val="single" w:color="000000" w:sz="4" w:space="0"/>
              <w:bottom w:val="single" w:color="000000" w:sz="4" w:space="0"/>
              <w:right w:val="single" w:color="000000" w:sz="4" w:space="0"/>
            </w:tcBorders>
            <w:noWrap/>
          </w:tcPr>
          <w:p>
            <w:pPr>
              <w:pStyle w:val="38"/>
              <w:spacing w:before="114" w:line="218" w:lineRule="auto"/>
              <w:ind w:left="121"/>
              <w:jc w:val="both"/>
              <w:rPr>
                <w:rFonts w:hint="eastAsia" w:ascii="仿宋" w:hAnsi="仿宋" w:eastAsia="仿宋" w:cs="仿宋"/>
                <w:sz w:val="32"/>
                <w:szCs w:val="32"/>
              </w:rPr>
            </w:pPr>
            <w:r>
              <w:rPr>
                <w:rFonts w:hint="eastAsia" w:ascii="仿宋" w:hAnsi="仿宋" w:eastAsia="仿宋" w:cs="仿宋"/>
                <w:spacing w:val="-2"/>
                <w:sz w:val="32"/>
                <w:szCs w:val="32"/>
              </w:rPr>
              <w:t>课程标准数量</w:t>
            </w:r>
          </w:p>
        </w:tc>
        <w:tc>
          <w:tcPr>
            <w:tcW w:w="759" w:type="dxa"/>
            <w:tcBorders>
              <w:top w:val="single" w:color="000000" w:sz="4" w:space="0"/>
              <w:left w:val="single" w:color="000000" w:sz="4" w:space="0"/>
              <w:bottom w:val="single" w:color="000000" w:sz="4" w:space="0"/>
              <w:right w:val="single" w:color="000000" w:sz="4" w:space="0"/>
            </w:tcBorders>
            <w:noWrap/>
          </w:tcPr>
          <w:p>
            <w:pPr>
              <w:pStyle w:val="38"/>
              <w:spacing w:before="114" w:line="218" w:lineRule="auto"/>
              <w:ind w:left="257"/>
              <w:jc w:val="both"/>
              <w:rPr>
                <w:rFonts w:hint="eastAsia" w:ascii="仿宋" w:hAnsi="仿宋" w:eastAsia="仿宋" w:cs="仿宋"/>
                <w:sz w:val="32"/>
                <w:szCs w:val="32"/>
              </w:rPr>
            </w:pPr>
            <w:r>
              <w:rPr>
                <w:rFonts w:hint="eastAsia" w:ascii="仿宋" w:hAnsi="仿宋" w:eastAsia="仿宋" w:cs="仿宋"/>
                <w:sz w:val="32"/>
                <w:szCs w:val="32"/>
              </w:rPr>
              <w:t>个</w:t>
            </w:r>
          </w:p>
        </w:tc>
        <w:tc>
          <w:tcPr>
            <w:tcW w:w="108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9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734" w:type="dxa"/>
            <w:vMerge w:val="continue"/>
            <w:tcBorders>
              <w:top w:val="nil"/>
              <w:left w:val="single" w:color="000000" w:sz="4" w:space="0"/>
              <w:bottom w:val="nil"/>
              <w:right w:val="single" w:color="000000" w:sz="4" w:space="0"/>
            </w:tcBorders>
            <w:noWrap/>
          </w:tcPr>
          <w:p>
            <w:pPr>
              <w:rPr>
                <w:rFonts w:hint="eastAsia" w:ascii="仿宋" w:hAnsi="仿宋" w:eastAsia="仿宋" w:cs="仿宋"/>
                <w:sz w:val="32"/>
                <w:szCs w:val="32"/>
              </w:rPr>
            </w:pPr>
          </w:p>
        </w:tc>
        <w:tc>
          <w:tcPr>
            <w:tcW w:w="4764" w:type="dxa"/>
            <w:tcBorders>
              <w:top w:val="single" w:color="000000" w:sz="4" w:space="0"/>
              <w:left w:val="single" w:color="000000" w:sz="4" w:space="0"/>
              <w:bottom w:val="single" w:color="000000" w:sz="4" w:space="0"/>
              <w:right w:val="single" w:color="000000" w:sz="4" w:space="0"/>
            </w:tcBorders>
            <w:noWrap/>
          </w:tcPr>
          <w:p>
            <w:pPr>
              <w:pStyle w:val="38"/>
              <w:spacing w:before="115" w:line="218" w:lineRule="auto"/>
              <w:ind w:left="121"/>
              <w:jc w:val="both"/>
              <w:rPr>
                <w:rFonts w:hint="eastAsia" w:ascii="仿宋" w:hAnsi="仿宋" w:eastAsia="仿宋" w:cs="仿宋"/>
                <w:sz w:val="32"/>
                <w:szCs w:val="32"/>
              </w:rPr>
            </w:pPr>
            <w:r>
              <w:rPr>
                <w:rFonts w:hint="eastAsia" w:ascii="仿宋" w:hAnsi="仿宋" w:eastAsia="仿宋" w:cs="仿宋"/>
                <w:spacing w:val="2"/>
                <w:sz w:val="32"/>
                <w:szCs w:val="32"/>
              </w:rPr>
              <w:t>资源数量</w:t>
            </w:r>
          </w:p>
        </w:tc>
        <w:tc>
          <w:tcPr>
            <w:tcW w:w="759" w:type="dxa"/>
            <w:tcBorders>
              <w:top w:val="single" w:color="000000" w:sz="4" w:space="0"/>
              <w:left w:val="single" w:color="000000" w:sz="4" w:space="0"/>
              <w:bottom w:val="single" w:color="000000" w:sz="4" w:space="0"/>
              <w:right w:val="single" w:color="000000" w:sz="4" w:space="0"/>
            </w:tcBorders>
            <w:noWrap/>
          </w:tcPr>
          <w:p>
            <w:pPr>
              <w:pStyle w:val="38"/>
              <w:spacing w:before="115" w:line="218" w:lineRule="auto"/>
              <w:ind w:left="257"/>
              <w:jc w:val="both"/>
              <w:rPr>
                <w:rFonts w:hint="eastAsia" w:ascii="仿宋" w:hAnsi="仿宋" w:eastAsia="仿宋" w:cs="仿宋"/>
                <w:sz w:val="32"/>
                <w:szCs w:val="32"/>
              </w:rPr>
            </w:pPr>
            <w:r>
              <w:rPr>
                <w:rFonts w:hint="eastAsia" w:ascii="仿宋" w:hAnsi="仿宋" w:eastAsia="仿宋" w:cs="仿宋"/>
                <w:sz w:val="32"/>
                <w:szCs w:val="32"/>
              </w:rPr>
              <w:t>个</w:t>
            </w:r>
          </w:p>
        </w:tc>
        <w:tc>
          <w:tcPr>
            <w:tcW w:w="108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9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734" w:type="dxa"/>
            <w:vMerge w:val="continue"/>
            <w:tcBorders>
              <w:top w:val="nil"/>
              <w:left w:val="single" w:color="000000" w:sz="4" w:space="0"/>
              <w:bottom w:val="single" w:color="000000" w:sz="4" w:space="0"/>
              <w:right w:val="single" w:color="000000" w:sz="4" w:space="0"/>
            </w:tcBorders>
            <w:noWrap/>
          </w:tcPr>
          <w:p>
            <w:pPr>
              <w:rPr>
                <w:rFonts w:hint="eastAsia" w:ascii="仿宋" w:hAnsi="仿宋" w:eastAsia="仿宋" w:cs="仿宋"/>
                <w:sz w:val="32"/>
                <w:szCs w:val="32"/>
              </w:rPr>
            </w:pPr>
          </w:p>
        </w:tc>
        <w:tc>
          <w:tcPr>
            <w:tcW w:w="4764" w:type="dxa"/>
            <w:tcBorders>
              <w:top w:val="single" w:color="000000" w:sz="4" w:space="0"/>
              <w:left w:val="single" w:color="000000" w:sz="4" w:space="0"/>
              <w:bottom w:val="single" w:color="000000" w:sz="4" w:space="0"/>
              <w:right w:val="single" w:color="000000" w:sz="4" w:space="0"/>
            </w:tcBorders>
            <w:noWrap/>
          </w:tcPr>
          <w:p>
            <w:pPr>
              <w:pStyle w:val="38"/>
              <w:spacing w:before="117" w:line="218" w:lineRule="auto"/>
              <w:ind w:left="121"/>
              <w:jc w:val="both"/>
              <w:rPr>
                <w:rFonts w:hint="eastAsia" w:ascii="仿宋" w:hAnsi="仿宋" w:eastAsia="仿宋" w:cs="仿宋"/>
                <w:sz w:val="32"/>
                <w:szCs w:val="32"/>
              </w:rPr>
            </w:pPr>
            <w:r>
              <w:rPr>
                <w:rFonts w:hint="eastAsia" w:ascii="仿宋" w:hAnsi="仿宋" w:eastAsia="仿宋" w:cs="仿宋"/>
                <w:spacing w:val="-2"/>
                <w:sz w:val="32"/>
                <w:szCs w:val="32"/>
              </w:rPr>
              <w:t>装备数量</w:t>
            </w:r>
          </w:p>
        </w:tc>
        <w:tc>
          <w:tcPr>
            <w:tcW w:w="759" w:type="dxa"/>
            <w:tcBorders>
              <w:top w:val="single" w:color="000000" w:sz="4" w:space="0"/>
              <w:left w:val="single" w:color="000000" w:sz="4" w:space="0"/>
              <w:bottom w:val="single" w:color="000000" w:sz="4" w:space="0"/>
              <w:right w:val="single" w:color="000000" w:sz="4" w:space="0"/>
            </w:tcBorders>
            <w:noWrap/>
          </w:tcPr>
          <w:p>
            <w:pPr>
              <w:pStyle w:val="38"/>
              <w:spacing w:before="117" w:line="218" w:lineRule="auto"/>
              <w:ind w:left="257"/>
              <w:jc w:val="both"/>
              <w:rPr>
                <w:rFonts w:hint="eastAsia" w:ascii="仿宋" w:hAnsi="仿宋" w:eastAsia="仿宋" w:cs="仿宋"/>
                <w:sz w:val="32"/>
                <w:szCs w:val="32"/>
              </w:rPr>
            </w:pPr>
            <w:r>
              <w:rPr>
                <w:rFonts w:hint="eastAsia" w:ascii="仿宋" w:hAnsi="仿宋" w:eastAsia="仿宋" w:cs="仿宋"/>
                <w:sz w:val="32"/>
                <w:szCs w:val="32"/>
              </w:rPr>
              <w:t>个</w:t>
            </w:r>
          </w:p>
        </w:tc>
        <w:tc>
          <w:tcPr>
            <w:tcW w:w="108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9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734" w:type="dxa"/>
            <w:vMerge w:val="restart"/>
            <w:tcBorders>
              <w:top w:val="single" w:color="000000" w:sz="4" w:space="0"/>
              <w:left w:val="single" w:color="000000" w:sz="4" w:space="0"/>
              <w:bottom w:val="single" w:color="000000" w:sz="4" w:space="0"/>
              <w:right w:val="single" w:color="000000" w:sz="4" w:space="0"/>
            </w:tcBorders>
            <w:noWrap/>
          </w:tcPr>
          <w:p>
            <w:pPr>
              <w:spacing w:line="329" w:lineRule="auto"/>
              <w:jc w:val="both"/>
              <w:rPr>
                <w:rFonts w:hint="eastAsia" w:ascii="仿宋" w:hAnsi="仿宋" w:eastAsia="仿宋" w:cs="仿宋"/>
                <w:sz w:val="32"/>
                <w:szCs w:val="32"/>
              </w:rPr>
            </w:pPr>
          </w:p>
          <w:p>
            <w:pPr>
              <w:pStyle w:val="38"/>
              <w:spacing w:before="78" w:line="182" w:lineRule="auto"/>
              <w:ind w:left="295"/>
              <w:jc w:val="both"/>
              <w:rPr>
                <w:rFonts w:hint="eastAsia" w:ascii="仿宋" w:hAnsi="仿宋" w:eastAsia="仿宋" w:cs="仿宋"/>
                <w:sz w:val="32"/>
                <w:szCs w:val="32"/>
              </w:rPr>
            </w:pPr>
            <w:r>
              <w:rPr>
                <w:rFonts w:hint="eastAsia" w:ascii="仿宋" w:hAnsi="仿宋" w:eastAsia="仿宋" w:cs="仿宋"/>
                <w:sz w:val="32"/>
                <w:szCs w:val="32"/>
              </w:rPr>
              <w:t>2</w:t>
            </w:r>
          </w:p>
        </w:tc>
        <w:tc>
          <w:tcPr>
            <w:tcW w:w="4764" w:type="dxa"/>
            <w:tcBorders>
              <w:top w:val="single" w:color="000000" w:sz="4" w:space="0"/>
              <w:left w:val="single" w:color="000000" w:sz="4" w:space="0"/>
              <w:bottom w:val="single" w:color="000000" w:sz="4" w:space="0"/>
              <w:right w:val="single" w:color="000000" w:sz="4" w:space="0"/>
            </w:tcBorders>
            <w:noWrap/>
          </w:tcPr>
          <w:p>
            <w:pPr>
              <w:pStyle w:val="38"/>
              <w:spacing w:before="117" w:line="218" w:lineRule="auto"/>
              <w:ind w:left="121"/>
              <w:jc w:val="both"/>
              <w:rPr>
                <w:rFonts w:hint="eastAsia" w:ascii="仿宋" w:hAnsi="仿宋" w:eastAsia="仿宋" w:cs="仿宋"/>
                <w:sz w:val="32"/>
                <w:szCs w:val="32"/>
              </w:rPr>
            </w:pPr>
            <w:r>
              <w:rPr>
                <w:rFonts w:hint="eastAsia" w:ascii="仿宋" w:hAnsi="仿宋" w:eastAsia="仿宋" w:cs="仿宋"/>
                <w:spacing w:val="-1"/>
                <w:sz w:val="32"/>
                <w:szCs w:val="32"/>
              </w:rPr>
              <w:t>在国外开办学校数</w:t>
            </w:r>
          </w:p>
        </w:tc>
        <w:tc>
          <w:tcPr>
            <w:tcW w:w="759" w:type="dxa"/>
            <w:tcBorders>
              <w:top w:val="single" w:color="000000" w:sz="4" w:space="0"/>
              <w:left w:val="single" w:color="000000" w:sz="4" w:space="0"/>
              <w:bottom w:val="single" w:color="000000" w:sz="4" w:space="0"/>
              <w:right w:val="single" w:color="000000" w:sz="4" w:space="0"/>
            </w:tcBorders>
            <w:noWrap/>
          </w:tcPr>
          <w:p>
            <w:pPr>
              <w:pStyle w:val="38"/>
              <w:spacing w:before="118" w:line="221" w:lineRule="auto"/>
              <w:ind w:left="257"/>
              <w:jc w:val="both"/>
              <w:rPr>
                <w:rFonts w:hint="eastAsia" w:ascii="仿宋" w:hAnsi="仿宋" w:eastAsia="仿宋" w:cs="仿宋"/>
                <w:sz w:val="32"/>
                <w:szCs w:val="32"/>
              </w:rPr>
            </w:pPr>
            <w:r>
              <w:rPr>
                <w:rFonts w:hint="eastAsia" w:ascii="仿宋" w:hAnsi="仿宋" w:eastAsia="仿宋" w:cs="仿宋"/>
                <w:sz w:val="32"/>
                <w:szCs w:val="32"/>
              </w:rPr>
              <w:t>所</w:t>
            </w:r>
          </w:p>
        </w:tc>
        <w:tc>
          <w:tcPr>
            <w:tcW w:w="1089" w:type="dxa"/>
            <w:tcBorders>
              <w:top w:val="single" w:color="000000" w:sz="4" w:space="0"/>
              <w:left w:val="single" w:color="000000" w:sz="4" w:space="0"/>
              <w:bottom w:val="single" w:color="000000" w:sz="4" w:space="0"/>
              <w:right w:val="single" w:color="000000" w:sz="4" w:space="0"/>
            </w:tcBorders>
            <w:noWrap/>
          </w:tcPr>
          <w:p>
            <w:pPr>
              <w:pStyle w:val="38"/>
              <w:spacing w:before="154" w:line="218" w:lineRule="auto"/>
              <w:ind w:left="138"/>
              <w:jc w:val="both"/>
              <w:rPr>
                <w:rFonts w:hint="eastAsia" w:ascii="仿宋" w:hAnsi="仿宋" w:eastAsia="仿宋" w:cs="仿宋"/>
                <w:sz w:val="32"/>
                <w:szCs w:val="32"/>
              </w:rPr>
            </w:pPr>
            <w:r>
              <w:rPr>
                <w:rFonts w:hint="eastAsia" w:ascii="仿宋" w:hAnsi="仿宋" w:eastAsia="仿宋" w:cs="仿宋"/>
                <w:spacing w:val="-1"/>
                <w:sz w:val="28"/>
                <w:szCs w:val="28"/>
              </w:rPr>
              <w:t>仅高职填报</w:t>
            </w:r>
          </w:p>
        </w:tc>
        <w:tc>
          <w:tcPr>
            <w:tcW w:w="994" w:type="dxa"/>
            <w:tcBorders>
              <w:top w:val="single" w:color="000000" w:sz="4" w:space="0"/>
              <w:left w:val="single" w:color="000000" w:sz="4" w:space="0"/>
              <w:bottom w:val="single" w:color="000000" w:sz="4" w:space="0"/>
              <w:right w:val="single" w:color="000000" w:sz="4" w:space="0"/>
            </w:tcBorders>
            <w:noWrap/>
          </w:tcPr>
          <w:p>
            <w:pPr>
              <w:jc w:val="both"/>
              <w:rPr>
                <w:rFonts w:hint="eastAsia" w:ascii="仿宋" w:hAnsi="仿宋" w:eastAsia="仿宋" w:cs="仿宋"/>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734" w:type="dxa"/>
            <w:vMerge w:val="continue"/>
            <w:tcBorders>
              <w:top w:val="single" w:color="000000" w:sz="4" w:space="0"/>
              <w:left w:val="single" w:color="000000" w:sz="4" w:space="0"/>
              <w:bottom w:val="single" w:color="000000" w:sz="4" w:space="0"/>
              <w:right w:val="single" w:color="000000" w:sz="4" w:space="0"/>
            </w:tcBorders>
            <w:noWrap/>
          </w:tcPr>
          <w:p>
            <w:pPr>
              <w:rPr>
                <w:rFonts w:hint="eastAsia" w:ascii="仿宋" w:hAnsi="仿宋" w:eastAsia="仿宋" w:cs="仿宋"/>
                <w:sz w:val="32"/>
                <w:szCs w:val="32"/>
              </w:rPr>
            </w:pPr>
          </w:p>
        </w:tc>
        <w:tc>
          <w:tcPr>
            <w:tcW w:w="4764" w:type="dxa"/>
            <w:tcBorders>
              <w:top w:val="single" w:color="000000" w:sz="4" w:space="0"/>
              <w:left w:val="single" w:color="000000" w:sz="4" w:space="0"/>
              <w:bottom w:val="single" w:color="000000" w:sz="4" w:space="0"/>
              <w:right w:val="single" w:color="000000" w:sz="4" w:space="0"/>
            </w:tcBorders>
            <w:noWrap/>
          </w:tcPr>
          <w:p>
            <w:pPr>
              <w:pStyle w:val="38"/>
              <w:spacing w:before="118" w:line="218" w:lineRule="auto"/>
              <w:ind w:left="121"/>
              <w:jc w:val="both"/>
              <w:rPr>
                <w:rFonts w:hint="eastAsia" w:ascii="仿宋" w:hAnsi="仿宋" w:eastAsia="仿宋" w:cs="仿宋"/>
                <w:sz w:val="32"/>
                <w:szCs w:val="32"/>
              </w:rPr>
            </w:pPr>
            <w:r>
              <w:rPr>
                <w:rFonts w:hint="eastAsia" w:ascii="仿宋" w:hAnsi="仿宋" w:eastAsia="仿宋" w:cs="仿宋"/>
                <w:spacing w:val="-2"/>
                <w:sz w:val="32"/>
                <w:szCs w:val="32"/>
              </w:rPr>
              <w:t>其中：专业数量</w:t>
            </w:r>
          </w:p>
        </w:tc>
        <w:tc>
          <w:tcPr>
            <w:tcW w:w="759" w:type="dxa"/>
            <w:tcBorders>
              <w:top w:val="single" w:color="000000" w:sz="4" w:space="0"/>
              <w:left w:val="single" w:color="000000" w:sz="4" w:space="0"/>
              <w:bottom w:val="single" w:color="000000" w:sz="4" w:space="0"/>
              <w:right w:val="single" w:color="000000" w:sz="4" w:space="0"/>
            </w:tcBorders>
            <w:noWrap/>
          </w:tcPr>
          <w:p>
            <w:pPr>
              <w:pStyle w:val="38"/>
              <w:spacing w:before="118" w:line="218" w:lineRule="auto"/>
              <w:ind w:left="257"/>
              <w:jc w:val="both"/>
              <w:rPr>
                <w:rFonts w:hint="eastAsia" w:ascii="仿宋" w:hAnsi="仿宋" w:eastAsia="仿宋" w:cs="仿宋"/>
                <w:sz w:val="32"/>
                <w:szCs w:val="32"/>
              </w:rPr>
            </w:pPr>
            <w:r>
              <w:rPr>
                <w:rFonts w:hint="eastAsia" w:ascii="仿宋" w:hAnsi="仿宋" w:eastAsia="仿宋" w:cs="仿宋"/>
                <w:sz w:val="32"/>
                <w:szCs w:val="32"/>
              </w:rPr>
              <w:t>个</w:t>
            </w:r>
          </w:p>
        </w:tc>
        <w:tc>
          <w:tcPr>
            <w:tcW w:w="1089" w:type="dxa"/>
            <w:tcBorders>
              <w:top w:val="single" w:color="000000" w:sz="4" w:space="0"/>
              <w:left w:val="single" w:color="000000" w:sz="4" w:space="0"/>
              <w:bottom w:val="single" w:color="000000" w:sz="4" w:space="0"/>
              <w:right w:val="single" w:color="000000" w:sz="4" w:space="0"/>
            </w:tcBorders>
            <w:noWrap/>
          </w:tcPr>
          <w:p>
            <w:pPr>
              <w:pStyle w:val="38"/>
              <w:spacing w:before="155" w:line="218" w:lineRule="auto"/>
              <w:ind w:left="138"/>
              <w:jc w:val="both"/>
              <w:rPr>
                <w:rFonts w:hint="eastAsia" w:ascii="仿宋" w:hAnsi="仿宋" w:eastAsia="仿宋" w:cs="仿宋"/>
                <w:sz w:val="32"/>
                <w:szCs w:val="32"/>
              </w:rPr>
            </w:pPr>
            <w:r>
              <w:rPr>
                <w:rFonts w:hint="eastAsia" w:ascii="仿宋" w:hAnsi="仿宋" w:eastAsia="仿宋" w:cs="仿宋"/>
                <w:spacing w:val="-1"/>
                <w:sz w:val="28"/>
                <w:szCs w:val="28"/>
              </w:rPr>
              <w:t>仅高职填报</w:t>
            </w:r>
          </w:p>
        </w:tc>
        <w:tc>
          <w:tcPr>
            <w:tcW w:w="994" w:type="dxa"/>
            <w:tcBorders>
              <w:top w:val="single" w:color="000000" w:sz="4" w:space="0"/>
              <w:left w:val="single" w:color="000000" w:sz="4" w:space="0"/>
              <w:bottom w:val="single" w:color="000000" w:sz="4" w:space="0"/>
              <w:right w:val="single" w:color="000000" w:sz="4" w:space="0"/>
            </w:tcBorders>
            <w:noWrap/>
          </w:tcPr>
          <w:p>
            <w:pPr>
              <w:jc w:val="both"/>
              <w:rPr>
                <w:rFonts w:hint="eastAsia" w:ascii="仿宋" w:hAnsi="仿宋" w:eastAsia="仿宋" w:cs="仿宋"/>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734" w:type="dxa"/>
            <w:vMerge w:val="continue"/>
            <w:tcBorders>
              <w:top w:val="single" w:color="000000" w:sz="4" w:space="0"/>
              <w:left w:val="single" w:color="000000" w:sz="4" w:space="0"/>
              <w:bottom w:val="single" w:color="000000" w:sz="4" w:space="0"/>
              <w:right w:val="single" w:color="000000" w:sz="4" w:space="0"/>
            </w:tcBorders>
            <w:noWrap/>
          </w:tcPr>
          <w:p>
            <w:pPr>
              <w:rPr>
                <w:rFonts w:hint="eastAsia" w:ascii="仿宋" w:hAnsi="仿宋" w:eastAsia="仿宋" w:cs="仿宋"/>
                <w:sz w:val="32"/>
                <w:szCs w:val="32"/>
              </w:rPr>
            </w:pPr>
          </w:p>
        </w:tc>
        <w:tc>
          <w:tcPr>
            <w:tcW w:w="4764" w:type="dxa"/>
            <w:tcBorders>
              <w:top w:val="single" w:color="000000" w:sz="4" w:space="0"/>
              <w:left w:val="single" w:color="000000" w:sz="4" w:space="0"/>
              <w:bottom w:val="single" w:color="000000" w:sz="4" w:space="0"/>
              <w:right w:val="single" w:color="000000" w:sz="4" w:space="0"/>
            </w:tcBorders>
            <w:noWrap/>
          </w:tcPr>
          <w:p>
            <w:pPr>
              <w:pStyle w:val="38"/>
              <w:spacing w:before="110" w:line="218" w:lineRule="auto"/>
              <w:ind w:left="141"/>
              <w:jc w:val="both"/>
              <w:rPr>
                <w:rFonts w:hint="eastAsia" w:ascii="仿宋" w:hAnsi="仿宋" w:eastAsia="仿宋" w:cs="仿宋"/>
                <w:sz w:val="32"/>
                <w:szCs w:val="32"/>
              </w:rPr>
            </w:pPr>
            <w:r>
              <w:rPr>
                <w:rFonts w:hint="eastAsia" w:ascii="仿宋" w:hAnsi="仿宋" w:eastAsia="仿宋" w:cs="仿宋"/>
                <w:spacing w:val="-2"/>
                <w:sz w:val="32"/>
                <w:szCs w:val="32"/>
              </w:rPr>
              <w:t>在校生数</w:t>
            </w:r>
          </w:p>
        </w:tc>
        <w:tc>
          <w:tcPr>
            <w:tcW w:w="759" w:type="dxa"/>
            <w:tcBorders>
              <w:top w:val="single" w:color="000000" w:sz="4" w:space="0"/>
              <w:left w:val="single" w:color="000000" w:sz="4" w:space="0"/>
              <w:bottom w:val="single" w:color="000000" w:sz="4" w:space="0"/>
              <w:right w:val="single" w:color="000000" w:sz="4" w:space="0"/>
            </w:tcBorders>
            <w:noWrap/>
          </w:tcPr>
          <w:p>
            <w:pPr>
              <w:pStyle w:val="38"/>
              <w:spacing w:before="114" w:line="223" w:lineRule="auto"/>
              <w:ind w:left="267"/>
              <w:jc w:val="both"/>
              <w:rPr>
                <w:rFonts w:hint="eastAsia" w:ascii="仿宋" w:hAnsi="仿宋" w:eastAsia="仿宋" w:cs="仿宋"/>
                <w:sz w:val="32"/>
                <w:szCs w:val="32"/>
              </w:rPr>
            </w:pPr>
            <w:r>
              <w:rPr>
                <w:rFonts w:hint="eastAsia" w:ascii="仿宋" w:hAnsi="仿宋" w:eastAsia="仿宋" w:cs="仿宋"/>
                <w:sz w:val="32"/>
                <w:szCs w:val="32"/>
              </w:rPr>
              <w:t>人</w:t>
            </w:r>
          </w:p>
        </w:tc>
        <w:tc>
          <w:tcPr>
            <w:tcW w:w="1089" w:type="dxa"/>
            <w:tcBorders>
              <w:top w:val="single" w:color="000000" w:sz="4" w:space="0"/>
              <w:left w:val="single" w:color="000000" w:sz="4" w:space="0"/>
              <w:bottom w:val="single" w:color="000000" w:sz="4" w:space="0"/>
              <w:right w:val="single" w:color="000000" w:sz="4" w:space="0"/>
            </w:tcBorders>
            <w:noWrap/>
          </w:tcPr>
          <w:p>
            <w:pPr>
              <w:pStyle w:val="38"/>
              <w:spacing w:before="147" w:line="218" w:lineRule="auto"/>
              <w:ind w:left="128"/>
              <w:jc w:val="both"/>
              <w:rPr>
                <w:rFonts w:hint="eastAsia" w:ascii="仿宋" w:hAnsi="仿宋" w:eastAsia="仿宋" w:cs="仿宋"/>
                <w:sz w:val="32"/>
                <w:szCs w:val="32"/>
              </w:rPr>
            </w:pPr>
            <w:r>
              <w:rPr>
                <w:rFonts w:hint="eastAsia" w:ascii="仿宋" w:hAnsi="仿宋" w:eastAsia="仿宋" w:cs="仿宋"/>
                <w:spacing w:val="-1"/>
                <w:sz w:val="28"/>
                <w:szCs w:val="28"/>
              </w:rPr>
              <w:t>仅高职填报</w:t>
            </w:r>
          </w:p>
        </w:tc>
        <w:tc>
          <w:tcPr>
            <w:tcW w:w="994" w:type="dxa"/>
            <w:tcBorders>
              <w:top w:val="single" w:color="000000" w:sz="4" w:space="0"/>
              <w:left w:val="single" w:color="000000" w:sz="4" w:space="0"/>
              <w:bottom w:val="single" w:color="000000" w:sz="4" w:space="0"/>
              <w:right w:val="single" w:color="000000" w:sz="4" w:space="0"/>
            </w:tcBorders>
            <w:noWrap/>
          </w:tcPr>
          <w:p>
            <w:pPr>
              <w:jc w:val="both"/>
              <w:rPr>
                <w:rFonts w:hint="eastAsia" w:ascii="仿宋" w:hAnsi="仿宋" w:eastAsia="仿宋" w:cs="仿宋"/>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734" w:type="dxa"/>
            <w:tcBorders>
              <w:top w:val="single" w:color="000000" w:sz="4" w:space="0"/>
              <w:left w:val="single" w:color="000000" w:sz="4" w:space="0"/>
              <w:bottom w:val="single" w:color="000000" w:sz="4" w:space="0"/>
              <w:right w:val="single" w:color="000000" w:sz="4" w:space="0"/>
            </w:tcBorders>
            <w:noWrap/>
          </w:tcPr>
          <w:p>
            <w:pPr>
              <w:pStyle w:val="38"/>
              <w:spacing w:before="173" w:line="182" w:lineRule="auto"/>
              <w:ind w:left="295"/>
              <w:jc w:val="both"/>
              <w:rPr>
                <w:rFonts w:hint="eastAsia" w:ascii="仿宋" w:hAnsi="仿宋" w:eastAsia="仿宋" w:cs="仿宋"/>
                <w:sz w:val="32"/>
                <w:szCs w:val="32"/>
              </w:rPr>
            </w:pPr>
            <w:r>
              <w:rPr>
                <w:rFonts w:hint="eastAsia" w:ascii="仿宋" w:hAnsi="仿宋" w:eastAsia="仿宋" w:cs="仿宋"/>
                <w:sz w:val="32"/>
                <w:szCs w:val="32"/>
              </w:rPr>
              <w:t>3</w:t>
            </w:r>
          </w:p>
        </w:tc>
        <w:tc>
          <w:tcPr>
            <w:tcW w:w="4764" w:type="dxa"/>
            <w:tcBorders>
              <w:top w:val="single" w:color="000000" w:sz="4" w:space="0"/>
              <w:left w:val="single" w:color="000000" w:sz="4" w:space="0"/>
              <w:bottom w:val="single" w:color="000000" w:sz="4" w:space="0"/>
              <w:right w:val="single" w:color="000000" w:sz="4" w:space="0"/>
            </w:tcBorders>
            <w:noWrap/>
          </w:tcPr>
          <w:p>
            <w:pPr>
              <w:pStyle w:val="38"/>
              <w:spacing w:before="111" w:line="218" w:lineRule="auto"/>
              <w:ind w:left="141"/>
              <w:jc w:val="both"/>
              <w:rPr>
                <w:rFonts w:hint="eastAsia" w:ascii="仿宋" w:hAnsi="仿宋" w:eastAsia="仿宋" w:cs="仿宋"/>
                <w:sz w:val="32"/>
                <w:szCs w:val="32"/>
              </w:rPr>
            </w:pPr>
            <w:r>
              <w:rPr>
                <w:rFonts w:hint="eastAsia" w:ascii="仿宋" w:hAnsi="仿宋" w:eastAsia="仿宋" w:cs="仿宋"/>
                <w:spacing w:val="-1"/>
                <w:sz w:val="32"/>
                <w:szCs w:val="32"/>
              </w:rPr>
              <w:t>接收国外留学生专业数</w:t>
            </w:r>
          </w:p>
        </w:tc>
        <w:tc>
          <w:tcPr>
            <w:tcW w:w="759" w:type="dxa"/>
            <w:tcBorders>
              <w:top w:val="single" w:color="000000" w:sz="4" w:space="0"/>
              <w:left w:val="single" w:color="000000" w:sz="4" w:space="0"/>
              <w:bottom w:val="single" w:color="000000" w:sz="4" w:space="0"/>
              <w:right w:val="single" w:color="000000" w:sz="4" w:space="0"/>
            </w:tcBorders>
            <w:noWrap/>
          </w:tcPr>
          <w:p>
            <w:pPr>
              <w:pStyle w:val="38"/>
              <w:spacing w:before="111" w:line="218" w:lineRule="auto"/>
              <w:ind w:left="267"/>
              <w:jc w:val="both"/>
              <w:rPr>
                <w:rFonts w:hint="eastAsia" w:ascii="仿宋" w:hAnsi="仿宋" w:eastAsia="仿宋" w:cs="仿宋"/>
                <w:sz w:val="32"/>
                <w:szCs w:val="32"/>
              </w:rPr>
            </w:pPr>
            <w:r>
              <w:rPr>
                <w:rFonts w:hint="eastAsia" w:ascii="仿宋" w:hAnsi="仿宋" w:eastAsia="仿宋" w:cs="仿宋"/>
                <w:sz w:val="32"/>
                <w:szCs w:val="32"/>
              </w:rPr>
              <w:t>个</w:t>
            </w:r>
          </w:p>
        </w:tc>
        <w:tc>
          <w:tcPr>
            <w:tcW w:w="108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9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34" w:type="dxa"/>
            <w:tcBorders>
              <w:top w:val="single" w:color="000000" w:sz="4" w:space="0"/>
              <w:left w:val="single" w:color="000000" w:sz="4" w:space="0"/>
              <w:bottom w:val="single" w:color="000000" w:sz="4" w:space="0"/>
              <w:right w:val="single" w:color="000000" w:sz="4" w:space="0"/>
            </w:tcBorders>
            <w:noWrap/>
          </w:tcPr>
          <w:p>
            <w:pPr>
              <w:pStyle w:val="38"/>
              <w:spacing w:before="174" w:line="182" w:lineRule="auto"/>
              <w:ind w:left="295"/>
              <w:jc w:val="both"/>
              <w:rPr>
                <w:rFonts w:hint="eastAsia" w:ascii="仿宋" w:hAnsi="仿宋" w:eastAsia="仿宋" w:cs="仿宋"/>
                <w:sz w:val="32"/>
                <w:szCs w:val="32"/>
              </w:rPr>
            </w:pPr>
            <w:r>
              <w:rPr>
                <w:rFonts w:hint="eastAsia" w:ascii="仿宋" w:hAnsi="仿宋" w:eastAsia="仿宋" w:cs="仿宋"/>
                <w:sz w:val="32"/>
                <w:szCs w:val="32"/>
              </w:rPr>
              <w:t>4</w:t>
            </w:r>
          </w:p>
        </w:tc>
        <w:tc>
          <w:tcPr>
            <w:tcW w:w="4764" w:type="dxa"/>
            <w:tcBorders>
              <w:top w:val="single" w:color="000000" w:sz="4" w:space="0"/>
              <w:left w:val="single" w:color="000000" w:sz="4" w:space="0"/>
              <w:bottom w:val="single" w:color="000000" w:sz="4" w:space="0"/>
              <w:right w:val="single" w:color="000000" w:sz="4" w:space="0"/>
            </w:tcBorders>
            <w:noWrap/>
          </w:tcPr>
          <w:p>
            <w:pPr>
              <w:pStyle w:val="38"/>
              <w:spacing w:before="112" w:line="218" w:lineRule="auto"/>
              <w:ind w:left="141"/>
              <w:jc w:val="both"/>
              <w:rPr>
                <w:rFonts w:hint="eastAsia" w:ascii="仿宋" w:hAnsi="仿宋" w:eastAsia="仿宋" w:cs="仿宋"/>
                <w:sz w:val="32"/>
                <w:szCs w:val="32"/>
              </w:rPr>
            </w:pPr>
            <w:r>
              <w:rPr>
                <w:rFonts w:hint="eastAsia" w:ascii="仿宋" w:hAnsi="仿宋" w:eastAsia="仿宋" w:cs="仿宋"/>
                <w:spacing w:val="-1"/>
                <w:sz w:val="32"/>
                <w:szCs w:val="32"/>
              </w:rPr>
              <w:t>接收国外留学生人数</w:t>
            </w:r>
          </w:p>
        </w:tc>
        <w:tc>
          <w:tcPr>
            <w:tcW w:w="759" w:type="dxa"/>
            <w:tcBorders>
              <w:top w:val="single" w:color="000000" w:sz="4" w:space="0"/>
              <w:left w:val="single" w:color="000000" w:sz="4" w:space="0"/>
              <w:bottom w:val="single" w:color="000000" w:sz="4" w:space="0"/>
              <w:right w:val="single" w:color="000000" w:sz="4" w:space="0"/>
            </w:tcBorders>
            <w:noWrap/>
          </w:tcPr>
          <w:p>
            <w:pPr>
              <w:pStyle w:val="38"/>
              <w:spacing w:before="116" w:line="223" w:lineRule="auto"/>
              <w:ind w:left="267"/>
              <w:jc w:val="both"/>
              <w:rPr>
                <w:rFonts w:hint="eastAsia" w:ascii="仿宋" w:hAnsi="仿宋" w:eastAsia="仿宋" w:cs="仿宋"/>
                <w:sz w:val="32"/>
                <w:szCs w:val="32"/>
              </w:rPr>
            </w:pPr>
            <w:r>
              <w:rPr>
                <w:rFonts w:hint="eastAsia" w:ascii="仿宋" w:hAnsi="仿宋" w:eastAsia="仿宋" w:cs="仿宋"/>
                <w:sz w:val="32"/>
                <w:szCs w:val="32"/>
              </w:rPr>
              <w:t>人</w:t>
            </w:r>
          </w:p>
        </w:tc>
        <w:tc>
          <w:tcPr>
            <w:tcW w:w="108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9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734" w:type="dxa"/>
            <w:tcBorders>
              <w:top w:val="single" w:color="000000" w:sz="4" w:space="0"/>
              <w:left w:val="single" w:color="000000" w:sz="4" w:space="0"/>
              <w:bottom w:val="single" w:color="000000" w:sz="4" w:space="0"/>
              <w:right w:val="single" w:color="000000" w:sz="4" w:space="0"/>
            </w:tcBorders>
            <w:noWrap/>
          </w:tcPr>
          <w:p>
            <w:pPr>
              <w:pStyle w:val="38"/>
              <w:spacing w:before="167" w:line="182" w:lineRule="auto"/>
              <w:ind w:left="295"/>
              <w:jc w:val="both"/>
              <w:rPr>
                <w:rFonts w:hint="eastAsia" w:ascii="仿宋" w:hAnsi="仿宋" w:eastAsia="仿宋" w:cs="仿宋"/>
                <w:sz w:val="32"/>
                <w:szCs w:val="32"/>
              </w:rPr>
            </w:pPr>
            <w:r>
              <w:rPr>
                <w:rFonts w:hint="eastAsia" w:ascii="仿宋" w:hAnsi="仿宋" w:eastAsia="仿宋" w:cs="仿宋"/>
                <w:sz w:val="32"/>
                <w:szCs w:val="32"/>
              </w:rPr>
              <w:t>5</w:t>
            </w:r>
          </w:p>
        </w:tc>
        <w:tc>
          <w:tcPr>
            <w:tcW w:w="4764" w:type="dxa"/>
            <w:tcBorders>
              <w:top w:val="single" w:color="000000" w:sz="4" w:space="0"/>
              <w:left w:val="single" w:color="000000" w:sz="4" w:space="0"/>
              <w:bottom w:val="single" w:color="000000" w:sz="4" w:space="0"/>
              <w:right w:val="single" w:color="000000" w:sz="4" w:space="0"/>
            </w:tcBorders>
            <w:noWrap/>
          </w:tcPr>
          <w:p>
            <w:pPr>
              <w:pStyle w:val="38"/>
              <w:spacing w:before="103" w:line="218" w:lineRule="auto"/>
              <w:ind w:left="141"/>
              <w:jc w:val="both"/>
              <w:rPr>
                <w:rFonts w:hint="eastAsia" w:ascii="仿宋" w:hAnsi="仿宋" w:eastAsia="仿宋" w:cs="仿宋"/>
                <w:sz w:val="32"/>
                <w:szCs w:val="32"/>
              </w:rPr>
            </w:pPr>
            <w:r>
              <w:rPr>
                <w:rFonts w:hint="eastAsia" w:ascii="仿宋" w:hAnsi="仿宋" w:eastAsia="仿宋" w:cs="仿宋"/>
                <w:spacing w:val="-1"/>
                <w:sz w:val="32"/>
                <w:szCs w:val="32"/>
              </w:rPr>
              <w:t>接收国外访学教师人数</w:t>
            </w:r>
          </w:p>
        </w:tc>
        <w:tc>
          <w:tcPr>
            <w:tcW w:w="759" w:type="dxa"/>
            <w:tcBorders>
              <w:top w:val="single" w:color="000000" w:sz="4" w:space="0"/>
              <w:left w:val="single" w:color="000000" w:sz="4" w:space="0"/>
              <w:bottom w:val="single" w:color="000000" w:sz="4" w:space="0"/>
              <w:right w:val="single" w:color="000000" w:sz="4" w:space="0"/>
            </w:tcBorders>
            <w:noWrap/>
          </w:tcPr>
          <w:p>
            <w:pPr>
              <w:pStyle w:val="38"/>
              <w:spacing w:before="107" w:line="223" w:lineRule="auto"/>
              <w:ind w:left="267"/>
              <w:jc w:val="both"/>
              <w:rPr>
                <w:rFonts w:hint="eastAsia" w:ascii="仿宋" w:hAnsi="仿宋" w:eastAsia="仿宋" w:cs="仿宋"/>
                <w:sz w:val="32"/>
                <w:szCs w:val="32"/>
              </w:rPr>
            </w:pPr>
            <w:r>
              <w:rPr>
                <w:rFonts w:hint="eastAsia" w:ascii="仿宋" w:hAnsi="仿宋" w:eastAsia="仿宋" w:cs="仿宋"/>
                <w:sz w:val="32"/>
                <w:szCs w:val="32"/>
              </w:rPr>
              <w:t>人</w:t>
            </w:r>
          </w:p>
        </w:tc>
        <w:tc>
          <w:tcPr>
            <w:tcW w:w="108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9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734" w:type="dxa"/>
            <w:vMerge w:val="restart"/>
            <w:tcBorders>
              <w:top w:val="single" w:color="000000" w:sz="4" w:space="0"/>
              <w:left w:val="single" w:color="000000" w:sz="4" w:space="0"/>
              <w:bottom w:val="nil"/>
              <w:right w:val="single" w:color="000000" w:sz="4" w:space="0"/>
            </w:tcBorders>
            <w:noWrap/>
          </w:tcPr>
          <w:p>
            <w:pPr>
              <w:spacing w:line="326" w:lineRule="auto"/>
              <w:jc w:val="both"/>
              <w:rPr>
                <w:rFonts w:hint="eastAsia" w:ascii="仿宋" w:hAnsi="仿宋" w:eastAsia="仿宋" w:cs="仿宋"/>
                <w:sz w:val="32"/>
                <w:szCs w:val="32"/>
              </w:rPr>
            </w:pPr>
          </w:p>
          <w:p>
            <w:pPr>
              <w:pStyle w:val="38"/>
              <w:spacing w:before="78" w:line="182" w:lineRule="auto"/>
              <w:ind w:left="295"/>
              <w:jc w:val="both"/>
              <w:rPr>
                <w:rFonts w:hint="eastAsia" w:ascii="仿宋" w:hAnsi="仿宋" w:eastAsia="仿宋" w:cs="仿宋"/>
                <w:sz w:val="32"/>
                <w:szCs w:val="32"/>
              </w:rPr>
            </w:pPr>
            <w:r>
              <w:rPr>
                <w:rFonts w:hint="eastAsia" w:ascii="仿宋" w:hAnsi="仿宋" w:eastAsia="仿宋" w:cs="仿宋"/>
                <w:sz w:val="32"/>
                <w:szCs w:val="32"/>
              </w:rPr>
              <w:t>6</w:t>
            </w:r>
          </w:p>
        </w:tc>
        <w:tc>
          <w:tcPr>
            <w:tcW w:w="4764" w:type="dxa"/>
            <w:tcBorders>
              <w:top w:val="single" w:color="000000" w:sz="4" w:space="0"/>
              <w:left w:val="single" w:color="000000" w:sz="4" w:space="0"/>
              <w:bottom w:val="single" w:color="000000" w:sz="4" w:space="0"/>
              <w:right w:val="single" w:color="000000" w:sz="4" w:space="0"/>
            </w:tcBorders>
            <w:noWrap/>
          </w:tcPr>
          <w:p>
            <w:pPr>
              <w:pStyle w:val="38"/>
              <w:spacing w:before="115" w:line="218" w:lineRule="auto"/>
              <w:ind w:left="141"/>
              <w:jc w:val="both"/>
              <w:rPr>
                <w:rFonts w:hint="eastAsia" w:ascii="仿宋" w:hAnsi="仿宋" w:eastAsia="仿宋" w:cs="仿宋"/>
                <w:sz w:val="32"/>
                <w:szCs w:val="32"/>
              </w:rPr>
            </w:pPr>
            <w:r>
              <w:rPr>
                <w:rFonts w:hint="eastAsia" w:ascii="仿宋" w:hAnsi="仿宋" w:eastAsia="仿宋" w:cs="仿宋"/>
                <w:spacing w:val="1"/>
                <w:sz w:val="32"/>
                <w:szCs w:val="32"/>
              </w:rPr>
              <w:t>中外合作办学专业数</w:t>
            </w:r>
          </w:p>
        </w:tc>
        <w:tc>
          <w:tcPr>
            <w:tcW w:w="759" w:type="dxa"/>
            <w:tcBorders>
              <w:top w:val="single" w:color="000000" w:sz="4" w:space="0"/>
              <w:left w:val="single" w:color="000000" w:sz="4" w:space="0"/>
              <w:bottom w:val="single" w:color="000000" w:sz="4" w:space="0"/>
              <w:right w:val="single" w:color="000000" w:sz="4" w:space="0"/>
            </w:tcBorders>
            <w:noWrap/>
          </w:tcPr>
          <w:p>
            <w:pPr>
              <w:pStyle w:val="38"/>
              <w:spacing w:before="115" w:line="218" w:lineRule="auto"/>
              <w:ind w:left="267"/>
              <w:jc w:val="both"/>
              <w:rPr>
                <w:rFonts w:hint="eastAsia" w:ascii="仿宋" w:hAnsi="仿宋" w:eastAsia="仿宋" w:cs="仿宋"/>
                <w:sz w:val="32"/>
                <w:szCs w:val="32"/>
              </w:rPr>
            </w:pPr>
            <w:r>
              <w:rPr>
                <w:rFonts w:hint="eastAsia" w:ascii="仿宋" w:hAnsi="仿宋" w:eastAsia="仿宋" w:cs="仿宋"/>
                <w:sz w:val="32"/>
                <w:szCs w:val="32"/>
              </w:rPr>
              <w:t>个</w:t>
            </w:r>
          </w:p>
        </w:tc>
        <w:tc>
          <w:tcPr>
            <w:tcW w:w="108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9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34" w:type="dxa"/>
            <w:vMerge w:val="continue"/>
            <w:tcBorders>
              <w:top w:val="nil"/>
              <w:left w:val="single" w:color="000000" w:sz="4" w:space="0"/>
              <w:bottom w:val="single" w:color="000000" w:sz="4" w:space="0"/>
              <w:right w:val="single" w:color="000000" w:sz="4" w:space="0"/>
            </w:tcBorders>
            <w:noWrap/>
          </w:tcPr>
          <w:p>
            <w:pPr>
              <w:rPr>
                <w:rFonts w:hint="eastAsia" w:ascii="仿宋" w:hAnsi="仿宋" w:eastAsia="仿宋" w:cs="仿宋"/>
                <w:sz w:val="32"/>
                <w:szCs w:val="32"/>
              </w:rPr>
            </w:pPr>
          </w:p>
        </w:tc>
        <w:tc>
          <w:tcPr>
            <w:tcW w:w="4764" w:type="dxa"/>
            <w:tcBorders>
              <w:top w:val="single" w:color="000000" w:sz="4" w:space="0"/>
              <w:left w:val="single" w:color="000000" w:sz="4" w:space="0"/>
              <w:bottom w:val="single" w:color="000000" w:sz="4" w:space="0"/>
              <w:right w:val="single" w:color="000000" w:sz="4" w:space="0"/>
            </w:tcBorders>
            <w:noWrap/>
          </w:tcPr>
          <w:p>
            <w:pPr>
              <w:pStyle w:val="38"/>
              <w:spacing w:before="116" w:line="218" w:lineRule="auto"/>
              <w:ind w:left="141"/>
              <w:jc w:val="both"/>
              <w:rPr>
                <w:rFonts w:hint="eastAsia" w:ascii="仿宋" w:hAnsi="仿宋" w:eastAsia="仿宋" w:cs="仿宋"/>
                <w:sz w:val="32"/>
                <w:szCs w:val="32"/>
              </w:rPr>
            </w:pPr>
            <w:r>
              <w:rPr>
                <w:rFonts w:hint="eastAsia" w:ascii="仿宋" w:hAnsi="仿宋" w:eastAsia="仿宋" w:cs="仿宋"/>
                <w:spacing w:val="1"/>
                <w:sz w:val="32"/>
                <w:szCs w:val="32"/>
              </w:rPr>
              <w:t>其中：在校生数</w:t>
            </w:r>
          </w:p>
        </w:tc>
        <w:tc>
          <w:tcPr>
            <w:tcW w:w="759" w:type="dxa"/>
            <w:tcBorders>
              <w:top w:val="single" w:color="000000" w:sz="4" w:space="0"/>
              <w:left w:val="single" w:color="000000" w:sz="4" w:space="0"/>
              <w:bottom w:val="single" w:color="000000" w:sz="4" w:space="0"/>
              <w:right w:val="single" w:color="000000" w:sz="4" w:space="0"/>
            </w:tcBorders>
            <w:noWrap/>
          </w:tcPr>
          <w:p>
            <w:pPr>
              <w:pStyle w:val="38"/>
              <w:spacing w:before="119" w:line="223" w:lineRule="auto"/>
              <w:ind w:left="267"/>
              <w:jc w:val="both"/>
              <w:rPr>
                <w:rFonts w:hint="eastAsia" w:ascii="仿宋" w:hAnsi="仿宋" w:eastAsia="仿宋" w:cs="仿宋"/>
                <w:sz w:val="32"/>
                <w:szCs w:val="32"/>
              </w:rPr>
            </w:pPr>
            <w:r>
              <w:rPr>
                <w:rFonts w:hint="eastAsia" w:ascii="仿宋" w:hAnsi="仿宋" w:eastAsia="仿宋" w:cs="仿宋"/>
                <w:sz w:val="32"/>
                <w:szCs w:val="32"/>
              </w:rPr>
              <w:t>人</w:t>
            </w:r>
          </w:p>
        </w:tc>
        <w:tc>
          <w:tcPr>
            <w:tcW w:w="108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9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734" w:type="dxa"/>
            <w:tcBorders>
              <w:top w:val="single" w:color="000000" w:sz="4" w:space="0"/>
              <w:left w:val="single" w:color="000000" w:sz="4" w:space="0"/>
              <w:bottom w:val="single" w:color="000000" w:sz="4" w:space="0"/>
              <w:right w:val="single" w:color="000000" w:sz="4" w:space="0"/>
            </w:tcBorders>
            <w:noWrap/>
          </w:tcPr>
          <w:p>
            <w:pPr>
              <w:pStyle w:val="38"/>
              <w:spacing w:before="181" w:line="182" w:lineRule="auto"/>
              <w:ind w:left="295"/>
              <w:jc w:val="both"/>
              <w:rPr>
                <w:rFonts w:hint="eastAsia" w:ascii="仿宋" w:hAnsi="仿宋" w:eastAsia="仿宋" w:cs="仿宋"/>
                <w:sz w:val="32"/>
                <w:szCs w:val="32"/>
              </w:rPr>
            </w:pPr>
            <w:r>
              <w:rPr>
                <w:rFonts w:hint="eastAsia" w:ascii="仿宋" w:hAnsi="仿宋" w:eastAsia="仿宋" w:cs="仿宋"/>
                <w:sz w:val="32"/>
                <w:szCs w:val="32"/>
              </w:rPr>
              <w:t>7</w:t>
            </w:r>
          </w:p>
        </w:tc>
        <w:tc>
          <w:tcPr>
            <w:tcW w:w="4764" w:type="dxa"/>
            <w:tcBorders>
              <w:top w:val="single" w:color="000000" w:sz="4" w:space="0"/>
              <w:left w:val="single" w:color="000000" w:sz="4" w:space="0"/>
              <w:bottom w:val="single" w:color="000000" w:sz="4" w:space="0"/>
              <w:right w:val="single" w:color="000000" w:sz="4" w:space="0"/>
            </w:tcBorders>
            <w:noWrap/>
          </w:tcPr>
          <w:p>
            <w:pPr>
              <w:pStyle w:val="38"/>
              <w:spacing w:before="118" w:line="218" w:lineRule="auto"/>
              <w:ind w:left="141"/>
              <w:jc w:val="both"/>
              <w:rPr>
                <w:rFonts w:hint="eastAsia" w:ascii="仿宋" w:hAnsi="仿宋" w:eastAsia="仿宋" w:cs="仿宋"/>
                <w:sz w:val="32"/>
                <w:szCs w:val="32"/>
              </w:rPr>
            </w:pPr>
            <w:r>
              <w:rPr>
                <w:rFonts w:hint="eastAsia" w:ascii="仿宋" w:hAnsi="仿宋" w:eastAsia="仿宋" w:cs="仿宋"/>
                <w:spacing w:val="1"/>
                <w:sz w:val="32"/>
                <w:szCs w:val="32"/>
              </w:rPr>
              <w:t>专任教师赴国外指导和开展培训时间</w:t>
            </w:r>
          </w:p>
        </w:tc>
        <w:tc>
          <w:tcPr>
            <w:tcW w:w="759" w:type="dxa"/>
            <w:tcBorders>
              <w:top w:val="single" w:color="000000" w:sz="4" w:space="0"/>
              <w:left w:val="single" w:color="000000" w:sz="4" w:space="0"/>
              <w:bottom w:val="single" w:color="000000" w:sz="4" w:space="0"/>
              <w:right w:val="single" w:color="000000" w:sz="4" w:space="0"/>
            </w:tcBorders>
            <w:noWrap/>
          </w:tcPr>
          <w:p>
            <w:pPr>
              <w:pStyle w:val="38"/>
              <w:spacing w:before="121" w:line="223" w:lineRule="auto"/>
              <w:ind w:left="147"/>
              <w:jc w:val="both"/>
              <w:rPr>
                <w:rFonts w:hint="eastAsia" w:ascii="仿宋" w:hAnsi="仿宋" w:eastAsia="仿宋" w:cs="仿宋"/>
                <w:sz w:val="32"/>
                <w:szCs w:val="32"/>
              </w:rPr>
            </w:pPr>
            <w:r>
              <w:rPr>
                <w:rFonts w:hint="eastAsia" w:ascii="仿宋" w:hAnsi="仿宋" w:eastAsia="仿宋" w:cs="仿宋"/>
                <w:spacing w:val="21"/>
                <w:sz w:val="32"/>
                <w:szCs w:val="32"/>
              </w:rPr>
              <w:t>人日</w:t>
            </w:r>
          </w:p>
        </w:tc>
        <w:tc>
          <w:tcPr>
            <w:tcW w:w="108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9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734" w:type="dxa"/>
            <w:tcBorders>
              <w:top w:val="single" w:color="000000" w:sz="4" w:space="0"/>
              <w:left w:val="single" w:color="000000" w:sz="4" w:space="0"/>
              <w:bottom w:val="single" w:color="000000" w:sz="4" w:space="0"/>
              <w:right w:val="single" w:color="000000" w:sz="4" w:space="0"/>
            </w:tcBorders>
            <w:noWrap/>
          </w:tcPr>
          <w:p>
            <w:pPr>
              <w:pStyle w:val="38"/>
              <w:spacing w:before="180" w:line="182" w:lineRule="auto"/>
              <w:ind w:left="295"/>
              <w:jc w:val="both"/>
              <w:rPr>
                <w:rFonts w:hint="eastAsia" w:ascii="仿宋" w:hAnsi="仿宋" w:eastAsia="仿宋" w:cs="仿宋"/>
                <w:sz w:val="32"/>
                <w:szCs w:val="32"/>
              </w:rPr>
            </w:pPr>
            <w:r>
              <w:rPr>
                <w:rFonts w:hint="eastAsia" w:ascii="仿宋" w:hAnsi="仿宋" w:eastAsia="仿宋" w:cs="仿宋"/>
                <w:sz w:val="32"/>
                <w:szCs w:val="32"/>
              </w:rPr>
              <w:t>8</w:t>
            </w:r>
          </w:p>
        </w:tc>
        <w:tc>
          <w:tcPr>
            <w:tcW w:w="4764" w:type="dxa"/>
            <w:tcBorders>
              <w:top w:val="single" w:color="000000" w:sz="4" w:space="0"/>
              <w:left w:val="single" w:color="000000" w:sz="4" w:space="0"/>
              <w:bottom w:val="single" w:color="000000" w:sz="4" w:space="0"/>
              <w:right w:val="single" w:color="000000" w:sz="4" w:space="0"/>
            </w:tcBorders>
            <w:noWrap/>
          </w:tcPr>
          <w:p>
            <w:pPr>
              <w:pStyle w:val="38"/>
              <w:spacing w:before="118" w:line="218" w:lineRule="auto"/>
              <w:ind w:left="141"/>
              <w:jc w:val="both"/>
              <w:rPr>
                <w:rFonts w:hint="eastAsia" w:ascii="仿宋" w:hAnsi="仿宋" w:eastAsia="仿宋" w:cs="仿宋"/>
                <w:sz w:val="32"/>
                <w:szCs w:val="32"/>
              </w:rPr>
            </w:pPr>
            <w:r>
              <w:rPr>
                <w:rFonts w:hint="eastAsia" w:ascii="仿宋" w:hAnsi="仿宋" w:eastAsia="仿宋" w:cs="仿宋"/>
                <w:spacing w:val="-1"/>
                <w:sz w:val="32"/>
                <w:szCs w:val="32"/>
              </w:rPr>
              <w:t>在国外组织担任职务的专任教师人数</w:t>
            </w:r>
          </w:p>
        </w:tc>
        <w:tc>
          <w:tcPr>
            <w:tcW w:w="759" w:type="dxa"/>
            <w:tcBorders>
              <w:top w:val="single" w:color="000000" w:sz="4" w:space="0"/>
              <w:left w:val="single" w:color="000000" w:sz="4" w:space="0"/>
              <w:bottom w:val="single" w:color="000000" w:sz="4" w:space="0"/>
              <w:right w:val="single" w:color="000000" w:sz="4" w:space="0"/>
            </w:tcBorders>
            <w:noWrap/>
          </w:tcPr>
          <w:p>
            <w:pPr>
              <w:pStyle w:val="38"/>
              <w:spacing w:before="122" w:line="223" w:lineRule="auto"/>
              <w:ind w:left="267"/>
              <w:jc w:val="both"/>
              <w:rPr>
                <w:rFonts w:hint="eastAsia" w:ascii="仿宋" w:hAnsi="仿宋" w:eastAsia="仿宋" w:cs="仿宋"/>
                <w:sz w:val="32"/>
                <w:szCs w:val="32"/>
              </w:rPr>
            </w:pPr>
            <w:r>
              <w:rPr>
                <w:rFonts w:hint="eastAsia" w:ascii="仿宋" w:hAnsi="仿宋" w:eastAsia="仿宋" w:cs="仿宋"/>
                <w:sz w:val="32"/>
                <w:szCs w:val="32"/>
              </w:rPr>
              <w:t>人</w:t>
            </w:r>
          </w:p>
        </w:tc>
        <w:tc>
          <w:tcPr>
            <w:tcW w:w="108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9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734" w:type="dxa"/>
            <w:tcBorders>
              <w:top w:val="single" w:color="000000" w:sz="4" w:space="0"/>
              <w:left w:val="single" w:color="000000" w:sz="4" w:space="0"/>
              <w:bottom w:val="single" w:color="000000" w:sz="4" w:space="0"/>
              <w:right w:val="single" w:color="000000" w:sz="4" w:space="0"/>
            </w:tcBorders>
            <w:noWrap/>
          </w:tcPr>
          <w:p>
            <w:pPr>
              <w:pStyle w:val="38"/>
              <w:spacing w:before="181" w:line="182" w:lineRule="auto"/>
              <w:ind w:left="295"/>
              <w:jc w:val="both"/>
              <w:rPr>
                <w:rFonts w:hint="eastAsia" w:ascii="仿宋" w:hAnsi="仿宋" w:eastAsia="仿宋" w:cs="仿宋"/>
                <w:sz w:val="32"/>
                <w:szCs w:val="32"/>
              </w:rPr>
            </w:pPr>
            <w:r>
              <w:rPr>
                <w:rFonts w:hint="eastAsia" w:ascii="仿宋" w:hAnsi="仿宋" w:eastAsia="仿宋" w:cs="仿宋"/>
                <w:sz w:val="32"/>
                <w:szCs w:val="32"/>
              </w:rPr>
              <w:t>9</w:t>
            </w:r>
          </w:p>
        </w:tc>
        <w:tc>
          <w:tcPr>
            <w:tcW w:w="4764" w:type="dxa"/>
            <w:tcBorders>
              <w:top w:val="single" w:color="000000" w:sz="4" w:space="0"/>
              <w:left w:val="single" w:color="000000" w:sz="4" w:space="0"/>
              <w:bottom w:val="single" w:color="000000" w:sz="4" w:space="0"/>
              <w:right w:val="single" w:color="000000" w:sz="4" w:space="0"/>
            </w:tcBorders>
            <w:noWrap/>
          </w:tcPr>
          <w:p>
            <w:pPr>
              <w:pStyle w:val="38"/>
              <w:spacing w:before="119" w:line="218" w:lineRule="auto"/>
              <w:ind w:left="141"/>
              <w:jc w:val="both"/>
              <w:rPr>
                <w:rFonts w:hint="eastAsia" w:ascii="仿宋" w:hAnsi="仿宋" w:eastAsia="仿宋" w:cs="仿宋"/>
                <w:sz w:val="32"/>
                <w:szCs w:val="32"/>
              </w:rPr>
            </w:pPr>
            <w:r>
              <w:rPr>
                <w:rFonts w:hint="eastAsia" w:ascii="仿宋" w:hAnsi="仿宋" w:eastAsia="仿宋" w:cs="仿宋"/>
                <w:sz w:val="32"/>
                <w:szCs w:val="32"/>
              </w:rPr>
              <w:t>国外技能大赛获奖数量</w:t>
            </w:r>
          </w:p>
        </w:tc>
        <w:tc>
          <w:tcPr>
            <w:tcW w:w="759" w:type="dxa"/>
            <w:tcBorders>
              <w:top w:val="single" w:color="000000" w:sz="4" w:space="0"/>
              <w:left w:val="single" w:color="000000" w:sz="4" w:space="0"/>
              <w:bottom w:val="single" w:color="000000" w:sz="4" w:space="0"/>
              <w:right w:val="single" w:color="000000" w:sz="4" w:space="0"/>
            </w:tcBorders>
            <w:noWrap/>
          </w:tcPr>
          <w:p>
            <w:pPr>
              <w:pStyle w:val="38"/>
              <w:spacing w:before="120" w:line="221" w:lineRule="auto"/>
              <w:ind w:left="267"/>
              <w:jc w:val="both"/>
              <w:rPr>
                <w:rFonts w:hint="eastAsia" w:ascii="仿宋" w:hAnsi="仿宋" w:eastAsia="仿宋" w:cs="仿宋"/>
                <w:sz w:val="32"/>
                <w:szCs w:val="32"/>
              </w:rPr>
            </w:pPr>
            <w:r>
              <w:rPr>
                <w:rFonts w:hint="eastAsia" w:ascii="仿宋" w:hAnsi="仿宋" w:eastAsia="仿宋" w:cs="仿宋"/>
                <w:sz w:val="32"/>
                <w:szCs w:val="32"/>
              </w:rPr>
              <w:t>项</w:t>
            </w:r>
          </w:p>
        </w:tc>
        <w:tc>
          <w:tcPr>
            <w:tcW w:w="108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994"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bl>
    <w:p>
      <w:pPr>
        <w:jc w:val="both"/>
        <w:rPr>
          <w:rFonts w:hint="eastAsia" w:ascii="仿宋" w:hAnsi="仿宋" w:eastAsia="仿宋" w:cs="仿宋"/>
          <w:sz w:val="32"/>
          <w:szCs w:val="32"/>
        </w:rPr>
      </w:pPr>
    </w:p>
    <w:p>
      <w:pPr>
        <w:spacing w:before="22" w:line="223" w:lineRule="auto"/>
        <w:ind w:left="3324"/>
        <w:jc w:val="both"/>
        <w:rPr>
          <w:rFonts w:hint="eastAsia" w:ascii="仿宋" w:hAnsi="仿宋" w:eastAsia="仿宋" w:cs="仿宋"/>
          <w:sz w:val="32"/>
          <w:szCs w:val="32"/>
        </w:rPr>
      </w:pPr>
      <w:r>
        <w:rPr>
          <w:rFonts w:hint="eastAsia" w:ascii="仿宋" w:hAnsi="仿宋" w:eastAsia="仿宋" w:cs="仿宋"/>
          <w:b/>
          <w:bCs/>
          <w:spacing w:val="7"/>
          <w:sz w:val="32"/>
          <w:szCs w:val="32"/>
        </w:rPr>
        <w:t>表</w:t>
      </w:r>
      <w:r>
        <w:rPr>
          <w:rFonts w:hint="default" w:ascii="仿宋" w:hAnsi="仿宋" w:eastAsia="仿宋" w:cs="仿宋"/>
          <w:b/>
          <w:bCs/>
          <w:spacing w:val="7"/>
          <w:sz w:val="32"/>
          <w:szCs w:val="32"/>
          <w:lang w:val="en-US"/>
        </w:rPr>
        <w:t>5</w:t>
      </w:r>
      <w:r>
        <w:rPr>
          <w:rFonts w:hint="eastAsia" w:ascii="仿宋" w:hAnsi="仿宋" w:eastAsia="仿宋" w:cs="仿宋"/>
          <w:b/>
          <w:bCs/>
          <w:spacing w:val="7"/>
          <w:sz w:val="32"/>
          <w:szCs w:val="32"/>
        </w:rPr>
        <w:t>落实政策表</w:t>
      </w:r>
    </w:p>
    <w:p>
      <w:pPr>
        <w:spacing w:line="93" w:lineRule="exact"/>
        <w:jc w:val="both"/>
        <w:rPr>
          <w:rFonts w:hint="eastAsia" w:ascii="仿宋" w:hAnsi="仿宋" w:eastAsia="仿宋" w:cs="仿宋"/>
          <w:sz w:val="32"/>
          <w:szCs w:val="32"/>
        </w:rPr>
      </w:pPr>
    </w:p>
    <w:tbl>
      <w:tblPr>
        <w:tblStyle w:val="25"/>
        <w:tblW w:w="8479" w:type="dxa"/>
        <w:tblInd w:w="1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4"/>
        <w:gridCol w:w="4544"/>
        <w:gridCol w:w="819"/>
        <w:gridCol w:w="1159"/>
        <w:gridCol w:w="11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804" w:type="dxa"/>
            <w:tcBorders>
              <w:top w:val="single" w:color="000000" w:sz="4" w:space="0"/>
              <w:left w:val="single" w:color="000000" w:sz="4" w:space="0"/>
              <w:bottom w:val="single" w:color="000000" w:sz="4" w:space="0"/>
              <w:right w:val="single" w:color="000000" w:sz="4" w:space="0"/>
            </w:tcBorders>
            <w:noWrap/>
          </w:tcPr>
          <w:p>
            <w:pPr>
              <w:pStyle w:val="38"/>
              <w:spacing w:before="142" w:line="221" w:lineRule="auto"/>
              <w:ind w:left="168"/>
              <w:jc w:val="both"/>
              <w:rPr>
                <w:rFonts w:hint="eastAsia" w:ascii="仿宋" w:hAnsi="仿宋" w:eastAsia="仿宋" w:cs="仿宋"/>
                <w:sz w:val="32"/>
                <w:szCs w:val="32"/>
              </w:rPr>
            </w:pPr>
            <w:r>
              <w:rPr>
                <w:rFonts w:hint="eastAsia" w:ascii="仿宋" w:hAnsi="仿宋" w:eastAsia="仿宋" w:cs="仿宋"/>
                <w:b/>
                <w:bCs/>
                <w:spacing w:val="-5"/>
                <w:sz w:val="32"/>
                <w:szCs w:val="32"/>
              </w:rPr>
              <w:t>序号</w:t>
            </w:r>
          </w:p>
        </w:tc>
        <w:tc>
          <w:tcPr>
            <w:tcW w:w="4544" w:type="dxa"/>
            <w:tcBorders>
              <w:top w:val="single" w:color="000000" w:sz="4" w:space="0"/>
              <w:left w:val="single" w:color="000000" w:sz="4" w:space="0"/>
              <w:bottom w:val="single" w:color="000000" w:sz="4" w:space="0"/>
              <w:right w:val="single" w:color="000000" w:sz="4" w:space="0"/>
            </w:tcBorders>
            <w:noWrap/>
          </w:tcPr>
          <w:p>
            <w:pPr>
              <w:pStyle w:val="38"/>
              <w:spacing w:before="141" w:line="221" w:lineRule="auto"/>
              <w:ind w:left="2034"/>
              <w:jc w:val="both"/>
              <w:rPr>
                <w:rFonts w:hint="eastAsia" w:ascii="仿宋" w:hAnsi="仿宋" w:eastAsia="仿宋" w:cs="仿宋"/>
                <w:sz w:val="32"/>
                <w:szCs w:val="32"/>
              </w:rPr>
            </w:pPr>
            <w:r>
              <w:rPr>
                <w:rFonts w:hint="eastAsia" w:ascii="仿宋" w:hAnsi="仿宋" w:eastAsia="仿宋" w:cs="仿宋"/>
                <w:b/>
                <w:bCs/>
                <w:spacing w:val="-6"/>
                <w:sz w:val="32"/>
                <w:szCs w:val="32"/>
              </w:rPr>
              <w:t>指标</w:t>
            </w:r>
          </w:p>
        </w:tc>
        <w:tc>
          <w:tcPr>
            <w:tcW w:w="819" w:type="dxa"/>
            <w:tcBorders>
              <w:top w:val="single" w:color="000000" w:sz="4" w:space="0"/>
              <w:left w:val="single" w:color="000000" w:sz="4" w:space="0"/>
              <w:bottom w:val="single" w:color="000000" w:sz="4" w:space="0"/>
              <w:right w:val="single" w:color="000000" w:sz="4" w:space="0"/>
            </w:tcBorders>
            <w:noWrap/>
          </w:tcPr>
          <w:p>
            <w:pPr>
              <w:pStyle w:val="38"/>
              <w:spacing w:before="141" w:line="221" w:lineRule="auto"/>
              <w:ind w:left="180"/>
              <w:jc w:val="both"/>
              <w:rPr>
                <w:rFonts w:hint="eastAsia" w:ascii="仿宋" w:hAnsi="仿宋" w:eastAsia="仿宋" w:cs="仿宋"/>
                <w:sz w:val="32"/>
                <w:szCs w:val="32"/>
              </w:rPr>
            </w:pPr>
            <w:r>
              <w:rPr>
                <w:rFonts w:hint="eastAsia" w:ascii="仿宋" w:hAnsi="仿宋" w:eastAsia="仿宋" w:cs="仿宋"/>
                <w:b/>
                <w:bCs/>
                <w:spacing w:val="-6"/>
                <w:sz w:val="32"/>
                <w:szCs w:val="32"/>
              </w:rPr>
              <w:t>单位</w:t>
            </w:r>
          </w:p>
        </w:tc>
        <w:tc>
          <w:tcPr>
            <w:tcW w:w="1159" w:type="dxa"/>
            <w:tcBorders>
              <w:top w:val="single" w:color="000000" w:sz="4" w:space="0"/>
              <w:left w:val="single" w:color="000000" w:sz="4" w:space="0"/>
              <w:bottom w:val="single" w:color="000000" w:sz="4" w:space="0"/>
              <w:right w:val="single" w:color="000000" w:sz="4" w:space="0"/>
            </w:tcBorders>
            <w:noWrap/>
          </w:tcPr>
          <w:p>
            <w:pPr>
              <w:pStyle w:val="38"/>
              <w:spacing w:before="141" w:line="218" w:lineRule="auto"/>
              <w:ind w:left="231"/>
              <w:jc w:val="both"/>
              <w:rPr>
                <w:rFonts w:hint="eastAsia" w:ascii="仿宋" w:hAnsi="仿宋" w:eastAsia="仿宋" w:cs="仿宋"/>
                <w:sz w:val="32"/>
                <w:szCs w:val="32"/>
              </w:rPr>
            </w:pPr>
            <w:r>
              <w:rPr>
                <w:rFonts w:hint="eastAsia" w:ascii="仿宋" w:hAnsi="仿宋" w:eastAsia="仿宋" w:cs="仿宋"/>
                <w:b/>
                <w:bCs/>
                <w:spacing w:val="-4"/>
                <w:sz w:val="32"/>
                <w:szCs w:val="32"/>
              </w:rPr>
              <w:t>2023年</w:t>
            </w:r>
          </w:p>
        </w:tc>
        <w:tc>
          <w:tcPr>
            <w:tcW w:w="1153" w:type="dxa"/>
            <w:tcBorders>
              <w:top w:val="single" w:color="000000" w:sz="4" w:space="0"/>
              <w:left w:val="single" w:color="000000" w:sz="4" w:space="0"/>
              <w:bottom w:val="single" w:color="000000" w:sz="4" w:space="0"/>
              <w:right w:val="single" w:color="000000" w:sz="4" w:space="0"/>
            </w:tcBorders>
            <w:noWrap/>
          </w:tcPr>
          <w:p>
            <w:pPr>
              <w:pStyle w:val="38"/>
              <w:spacing w:before="141" w:line="218" w:lineRule="auto"/>
              <w:ind w:left="202"/>
              <w:jc w:val="both"/>
              <w:rPr>
                <w:rFonts w:hint="eastAsia" w:ascii="仿宋" w:hAnsi="仿宋" w:eastAsia="仿宋" w:cs="仿宋"/>
                <w:sz w:val="32"/>
                <w:szCs w:val="32"/>
              </w:rPr>
            </w:pPr>
            <w:r>
              <w:rPr>
                <w:rFonts w:hint="eastAsia" w:ascii="仿宋" w:hAnsi="仿宋" w:eastAsia="仿宋" w:cs="仿宋"/>
                <w:b/>
                <w:bCs/>
                <w:spacing w:val="-4"/>
                <w:sz w:val="32"/>
                <w:szCs w:val="32"/>
              </w:rPr>
              <w:t>2024年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804" w:type="dxa"/>
            <w:tcBorders>
              <w:top w:val="single" w:color="000000" w:sz="4" w:space="0"/>
              <w:left w:val="single" w:color="000000" w:sz="4" w:space="0"/>
              <w:bottom w:val="single" w:color="000000" w:sz="4" w:space="0"/>
              <w:right w:val="single" w:color="000000" w:sz="4" w:space="0"/>
            </w:tcBorders>
            <w:noWrap/>
          </w:tcPr>
          <w:p>
            <w:pPr>
              <w:pStyle w:val="38"/>
              <w:spacing w:before="198" w:line="185" w:lineRule="auto"/>
              <w:ind w:left="335"/>
              <w:jc w:val="both"/>
              <w:rPr>
                <w:rFonts w:hint="eastAsia" w:ascii="仿宋" w:hAnsi="仿宋" w:eastAsia="仿宋" w:cs="仿宋"/>
                <w:sz w:val="32"/>
                <w:szCs w:val="32"/>
              </w:rPr>
            </w:pPr>
            <w:r>
              <w:rPr>
                <w:rFonts w:hint="eastAsia" w:ascii="仿宋" w:hAnsi="仿宋" w:eastAsia="仿宋" w:cs="仿宋"/>
                <w:sz w:val="32"/>
                <w:szCs w:val="32"/>
              </w:rPr>
              <w:t>1</w:t>
            </w:r>
          </w:p>
        </w:tc>
        <w:tc>
          <w:tcPr>
            <w:tcW w:w="4544" w:type="dxa"/>
            <w:tcBorders>
              <w:top w:val="single" w:color="000000" w:sz="4" w:space="0"/>
              <w:left w:val="single" w:color="000000" w:sz="4" w:space="0"/>
              <w:bottom w:val="single" w:color="000000" w:sz="4" w:space="0"/>
              <w:right w:val="single" w:color="000000" w:sz="4" w:space="0"/>
            </w:tcBorders>
            <w:noWrap/>
          </w:tcPr>
          <w:p>
            <w:pPr>
              <w:pStyle w:val="38"/>
              <w:spacing w:before="140" w:line="218" w:lineRule="auto"/>
              <w:ind w:left="120"/>
              <w:jc w:val="both"/>
              <w:rPr>
                <w:rFonts w:hint="eastAsia" w:ascii="仿宋" w:hAnsi="仿宋" w:eastAsia="仿宋" w:cs="仿宋"/>
                <w:sz w:val="32"/>
                <w:szCs w:val="32"/>
              </w:rPr>
            </w:pPr>
            <w:r>
              <w:rPr>
                <w:rFonts w:hint="eastAsia" w:ascii="仿宋" w:hAnsi="仿宋" w:eastAsia="仿宋" w:cs="仿宋"/>
                <w:spacing w:val="-1"/>
                <w:sz w:val="32"/>
                <w:szCs w:val="32"/>
              </w:rPr>
              <w:t>全日制在校生人数*</w:t>
            </w:r>
          </w:p>
        </w:tc>
        <w:tc>
          <w:tcPr>
            <w:tcW w:w="819" w:type="dxa"/>
            <w:tcBorders>
              <w:top w:val="single" w:color="000000" w:sz="4" w:space="0"/>
              <w:left w:val="single" w:color="000000" w:sz="4" w:space="0"/>
              <w:bottom w:val="single" w:color="000000" w:sz="4" w:space="0"/>
              <w:right w:val="single" w:color="000000" w:sz="4" w:space="0"/>
            </w:tcBorders>
            <w:noWrap/>
          </w:tcPr>
          <w:p>
            <w:pPr>
              <w:pStyle w:val="38"/>
              <w:spacing w:before="144" w:line="223" w:lineRule="auto"/>
              <w:ind w:left="286"/>
              <w:jc w:val="both"/>
              <w:rPr>
                <w:rFonts w:hint="eastAsia" w:ascii="仿宋" w:hAnsi="仿宋" w:eastAsia="仿宋" w:cs="仿宋"/>
                <w:sz w:val="32"/>
                <w:szCs w:val="32"/>
              </w:rPr>
            </w:pPr>
            <w:r>
              <w:rPr>
                <w:rFonts w:hint="eastAsia" w:ascii="仿宋" w:hAnsi="仿宋" w:eastAsia="仿宋" w:cs="仿宋"/>
                <w:sz w:val="32"/>
                <w:szCs w:val="32"/>
              </w:rPr>
              <w:t>人</w:t>
            </w:r>
          </w:p>
        </w:tc>
        <w:tc>
          <w:tcPr>
            <w:tcW w:w="115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2064</w:t>
            </w:r>
          </w:p>
        </w:tc>
        <w:tc>
          <w:tcPr>
            <w:tcW w:w="115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2084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804" w:type="dxa"/>
            <w:tcBorders>
              <w:top w:val="single" w:color="000000" w:sz="4" w:space="0"/>
              <w:left w:val="single" w:color="000000" w:sz="4" w:space="0"/>
              <w:bottom w:val="single" w:color="000000" w:sz="4" w:space="0"/>
              <w:right w:val="single" w:color="000000" w:sz="4" w:space="0"/>
            </w:tcBorders>
            <w:noWrap/>
          </w:tcPr>
          <w:p>
            <w:pPr>
              <w:pStyle w:val="38"/>
              <w:spacing w:before="139" w:line="182" w:lineRule="auto"/>
              <w:ind w:left="335"/>
              <w:jc w:val="both"/>
              <w:rPr>
                <w:rFonts w:hint="eastAsia" w:ascii="仿宋" w:hAnsi="仿宋" w:eastAsia="仿宋" w:cs="仿宋"/>
                <w:sz w:val="32"/>
                <w:szCs w:val="32"/>
              </w:rPr>
            </w:pPr>
            <w:r>
              <w:rPr>
                <w:rFonts w:hint="eastAsia" w:ascii="仿宋" w:hAnsi="仿宋" w:eastAsia="仿宋" w:cs="仿宋"/>
                <w:sz w:val="32"/>
                <w:szCs w:val="32"/>
              </w:rPr>
              <w:t>2</w:t>
            </w:r>
          </w:p>
        </w:tc>
        <w:tc>
          <w:tcPr>
            <w:tcW w:w="4544" w:type="dxa"/>
            <w:tcBorders>
              <w:top w:val="single" w:color="000000" w:sz="4" w:space="0"/>
              <w:left w:val="single" w:color="000000" w:sz="4" w:space="0"/>
              <w:bottom w:val="single" w:color="000000" w:sz="4" w:space="0"/>
              <w:right w:val="single" w:color="000000" w:sz="4" w:space="0"/>
            </w:tcBorders>
            <w:noWrap/>
          </w:tcPr>
          <w:p>
            <w:pPr>
              <w:pStyle w:val="38"/>
              <w:spacing w:before="200" w:line="218" w:lineRule="auto"/>
              <w:ind w:left="120"/>
              <w:jc w:val="both"/>
              <w:rPr>
                <w:rFonts w:hint="eastAsia" w:ascii="仿宋" w:hAnsi="仿宋" w:eastAsia="仿宋" w:cs="仿宋"/>
                <w:sz w:val="32"/>
                <w:szCs w:val="32"/>
              </w:rPr>
            </w:pPr>
            <w:r>
              <w:rPr>
                <w:rFonts w:hint="eastAsia" w:ascii="仿宋" w:hAnsi="仿宋" w:eastAsia="仿宋" w:cs="仿宋"/>
                <w:spacing w:val="1"/>
                <w:sz w:val="32"/>
                <w:szCs w:val="32"/>
              </w:rPr>
              <w:t>年生均财政拨款水平</w:t>
            </w:r>
          </w:p>
        </w:tc>
        <w:tc>
          <w:tcPr>
            <w:tcW w:w="819" w:type="dxa"/>
            <w:tcBorders>
              <w:top w:val="single" w:color="000000" w:sz="4" w:space="0"/>
              <w:left w:val="single" w:color="000000" w:sz="4" w:space="0"/>
              <w:bottom w:val="single" w:color="000000" w:sz="4" w:space="0"/>
              <w:right w:val="single" w:color="000000" w:sz="4" w:space="0"/>
            </w:tcBorders>
            <w:noWrap/>
          </w:tcPr>
          <w:p>
            <w:pPr>
              <w:pStyle w:val="38"/>
              <w:spacing w:before="201" w:line="221" w:lineRule="auto"/>
              <w:ind w:left="286"/>
              <w:jc w:val="both"/>
              <w:rPr>
                <w:rFonts w:hint="eastAsia" w:ascii="仿宋" w:hAnsi="仿宋" w:eastAsia="仿宋" w:cs="仿宋"/>
                <w:sz w:val="32"/>
                <w:szCs w:val="32"/>
              </w:rPr>
            </w:pPr>
            <w:r>
              <w:rPr>
                <w:rFonts w:hint="eastAsia" w:ascii="仿宋" w:hAnsi="仿宋" w:eastAsia="仿宋" w:cs="仿宋"/>
                <w:sz w:val="32"/>
                <w:szCs w:val="32"/>
              </w:rPr>
              <w:t>元</w:t>
            </w:r>
          </w:p>
        </w:tc>
        <w:tc>
          <w:tcPr>
            <w:tcW w:w="115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2300</w:t>
            </w:r>
          </w:p>
        </w:tc>
        <w:tc>
          <w:tcPr>
            <w:tcW w:w="115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2300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804" w:type="dxa"/>
            <w:tcBorders>
              <w:top w:val="single" w:color="000000" w:sz="4" w:space="0"/>
              <w:left w:val="single" w:color="000000" w:sz="4" w:space="0"/>
              <w:bottom w:val="single" w:color="auto" w:sz="4" w:space="0"/>
              <w:right w:val="single" w:color="000000" w:sz="4" w:space="0"/>
            </w:tcBorders>
            <w:noWrap/>
          </w:tcPr>
          <w:p>
            <w:pPr>
              <w:pStyle w:val="38"/>
              <w:spacing w:before="200" w:line="182" w:lineRule="auto"/>
              <w:ind w:left="335"/>
              <w:jc w:val="both"/>
              <w:rPr>
                <w:rFonts w:hint="eastAsia" w:ascii="仿宋" w:hAnsi="仿宋" w:eastAsia="仿宋" w:cs="仿宋"/>
                <w:sz w:val="32"/>
                <w:szCs w:val="32"/>
              </w:rPr>
            </w:pPr>
            <w:r>
              <w:rPr>
                <w:rFonts w:hint="eastAsia" w:ascii="仿宋" w:hAnsi="仿宋" w:eastAsia="仿宋" w:cs="仿宋"/>
                <w:sz w:val="32"/>
                <w:szCs w:val="32"/>
              </w:rPr>
              <w:t>3</w:t>
            </w:r>
          </w:p>
        </w:tc>
        <w:tc>
          <w:tcPr>
            <w:tcW w:w="4544" w:type="dxa"/>
            <w:tcBorders>
              <w:top w:val="single" w:color="000000" w:sz="4" w:space="0"/>
              <w:left w:val="single" w:color="000000" w:sz="4" w:space="0"/>
              <w:bottom w:val="single" w:color="auto" w:sz="4" w:space="0"/>
              <w:right w:val="single" w:color="000000" w:sz="4" w:space="0"/>
            </w:tcBorders>
            <w:noWrap/>
          </w:tcPr>
          <w:p>
            <w:pPr>
              <w:pStyle w:val="38"/>
              <w:spacing w:before="141" w:line="218" w:lineRule="auto"/>
              <w:ind w:left="120"/>
              <w:jc w:val="both"/>
              <w:rPr>
                <w:rFonts w:hint="eastAsia" w:ascii="仿宋" w:hAnsi="仿宋" w:eastAsia="仿宋" w:cs="仿宋"/>
                <w:sz w:val="32"/>
                <w:szCs w:val="32"/>
              </w:rPr>
            </w:pPr>
            <w:r>
              <w:rPr>
                <w:rFonts w:hint="eastAsia" w:ascii="仿宋" w:hAnsi="仿宋" w:eastAsia="仿宋" w:cs="仿宋"/>
                <w:spacing w:val="-2"/>
                <w:sz w:val="32"/>
                <w:szCs w:val="32"/>
              </w:rPr>
              <w:t>年财政专项经费*</w:t>
            </w:r>
          </w:p>
        </w:tc>
        <w:tc>
          <w:tcPr>
            <w:tcW w:w="819" w:type="dxa"/>
            <w:tcBorders>
              <w:top w:val="single" w:color="000000" w:sz="4" w:space="0"/>
              <w:left w:val="single" w:color="000000" w:sz="4" w:space="0"/>
              <w:bottom w:val="single" w:color="000000" w:sz="4" w:space="0"/>
              <w:right w:val="single" w:color="000000" w:sz="4" w:space="0"/>
            </w:tcBorders>
            <w:noWrap/>
          </w:tcPr>
          <w:p>
            <w:pPr>
              <w:pStyle w:val="38"/>
              <w:spacing w:before="142" w:line="221" w:lineRule="auto"/>
              <w:ind w:left="176"/>
              <w:jc w:val="both"/>
              <w:rPr>
                <w:rFonts w:hint="eastAsia" w:ascii="仿宋" w:hAnsi="仿宋" w:eastAsia="仿宋" w:cs="仿宋"/>
                <w:sz w:val="32"/>
                <w:szCs w:val="32"/>
              </w:rPr>
            </w:pPr>
            <w:r>
              <w:rPr>
                <w:rFonts w:hint="eastAsia" w:ascii="仿宋" w:hAnsi="仿宋" w:eastAsia="仿宋" w:cs="仿宋"/>
                <w:spacing w:val="4"/>
                <w:sz w:val="32"/>
                <w:szCs w:val="32"/>
              </w:rPr>
              <w:t>万元</w:t>
            </w:r>
          </w:p>
        </w:tc>
        <w:tc>
          <w:tcPr>
            <w:tcW w:w="115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689.775</w:t>
            </w:r>
          </w:p>
        </w:tc>
        <w:tc>
          <w:tcPr>
            <w:tcW w:w="115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812.55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804" w:type="dxa"/>
            <w:vMerge w:val="restart"/>
            <w:tcBorders>
              <w:top w:val="single" w:color="auto" w:sz="4" w:space="0"/>
              <w:left w:val="single" w:color="auto" w:sz="4" w:space="0"/>
              <w:bottom w:val="single" w:color="auto" w:sz="4" w:space="0"/>
              <w:right w:val="single" w:color="auto" w:sz="4" w:space="0"/>
            </w:tcBorders>
            <w:noWrap/>
          </w:tcPr>
          <w:p>
            <w:pPr>
              <w:spacing w:line="242" w:lineRule="auto"/>
              <w:jc w:val="both"/>
              <w:rPr>
                <w:rFonts w:hint="eastAsia" w:ascii="仿宋" w:hAnsi="仿宋" w:eastAsia="仿宋" w:cs="仿宋"/>
                <w:sz w:val="32"/>
                <w:szCs w:val="32"/>
              </w:rPr>
            </w:pPr>
          </w:p>
          <w:p>
            <w:pPr>
              <w:spacing w:line="242" w:lineRule="auto"/>
              <w:jc w:val="both"/>
              <w:rPr>
                <w:rFonts w:hint="eastAsia" w:ascii="仿宋" w:hAnsi="仿宋" w:eastAsia="仿宋" w:cs="仿宋"/>
                <w:sz w:val="32"/>
                <w:szCs w:val="32"/>
              </w:rPr>
            </w:pPr>
          </w:p>
          <w:p>
            <w:pPr>
              <w:spacing w:line="242" w:lineRule="auto"/>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w:t>
            </w:r>
          </w:p>
          <w:p>
            <w:pPr>
              <w:spacing w:line="242" w:lineRule="auto"/>
              <w:jc w:val="both"/>
              <w:rPr>
                <w:rFonts w:hint="eastAsia" w:ascii="仿宋" w:hAnsi="仿宋" w:eastAsia="仿宋" w:cs="仿宋"/>
                <w:sz w:val="32"/>
                <w:szCs w:val="32"/>
              </w:rPr>
            </w:pPr>
          </w:p>
          <w:p>
            <w:pPr>
              <w:spacing w:line="242" w:lineRule="auto"/>
              <w:jc w:val="both"/>
              <w:rPr>
                <w:rFonts w:hint="eastAsia" w:ascii="仿宋" w:hAnsi="仿宋" w:eastAsia="仿宋" w:cs="仿宋"/>
                <w:sz w:val="32"/>
                <w:szCs w:val="32"/>
              </w:rPr>
            </w:pPr>
          </w:p>
          <w:p>
            <w:pPr>
              <w:spacing w:line="242" w:lineRule="auto"/>
              <w:jc w:val="both"/>
              <w:rPr>
                <w:rFonts w:hint="eastAsia" w:ascii="仿宋" w:hAnsi="仿宋" w:eastAsia="仿宋" w:cs="仿宋"/>
                <w:sz w:val="32"/>
                <w:szCs w:val="32"/>
              </w:rPr>
            </w:pPr>
          </w:p>
          <w:p>
            <w:pPr>
              <w:spacing w:line="242" w:lineRule="auto"/>
              <w:jc w:val="both"/>
              <w:rPr>
                <w:rFonts w:hint="eastAsia" w:ascii="仿宋" w:hAnsi="仿宋" w:eastAsia="仿宋" w:cs="仿宋"/>
                <w:sz w:val="32"/>
                <w:szCs w:val="32"/>
              </w:rPr>
            </w:pPr>
          </w:p>
          <w:p>
            <w:pPr>
              <w:spacing w:line="242" w:lineRule="auto"/>
              <w:jc w:val="both"/>
              <w:rPr>
                <w:rFonts w:hint="eastAsia" w:ascii="仿宋" w:hAnsi="仿宋" w:eastAsia="仿宋" w:cs="仿宋"/>
                <w:sz w:val="32"/>
                <w:szCs w:val="32"/>
              </w:rPr>
            </w:pPr>
          </w:p>
          <w:p>
            <w:pPr>
              <w:pStyle w:val="38"/>
              <w:spacing w:before="75" w:line="182" w:lineRule="auto"/>
              <w:ind w:left="335"/>
              <w:jc w:val="both"/>
              <w:rPr>
                <w:rFonts w:hint="eastAsia" w:ascii="仿宋" w:hAnsi="仿宋" w:eastAsia="仿宋" w:cs="仿宋"/>
                <w:sz w:val="32"/>
                <w:szCs w:val="32"/>
              </w:rPr>
            </w:pPr>
            <w:r>
              <w:rPr>
                <w:rFonts w:hint="eastAsia" w:ascii="仿宋" w:hAnsi="仿宋" w:eastAsia="仿宋" w:cs="仿宋"/>
                <w:sz w:val="32"/>
                <w:szCs w:val="32"/>
              </w:rPr>
              <w:t>4</w:t>
            </w:r>
          </w:p>
        </w:tc>
        <w:tc>
          <w:tcPr>
            <w:tcW w:w="4544" w:type="dxa"/>
            <w:tcBorders>
              <w:top w:val="single" w:color="auto" w:sz="4" w:space="0"/>
              <w:left w:val="single" w:color="auto" w:sz="4" w:space="0"/>
              <w:bottom w:val="single" w:color="auto" w:sz="4" w:space="0"/>
              <w:right w:val="single" w:color="auto" w:sz="4" w:space="0"/>
            </w:tcBorders>
            <w:noWrap/>
          </w:tcPr>
          <w:p>
            <w:pPr>
              <w:pStyle w:val="38"/>
              <w:spacing w:before="142" w:line="218" w:lineRule="auto"/>
              <w:ind w:left="120"/>
              <w:jc w:val="both"/>
              <w:rPr>
                <w:rFonts w:hint="eastAsia" w:ascii="仿宋" w:hAnsi="仿宋" w:eastAsia="仿宋" w:cs="仿宋"/>
                <w:sz w:val="32"/>
                <w:szCs w:val="32"/>
              </w:rPr>
            </w:pPr>
            <w:r>
              <w:rPr>
                <w:rFonts w:hint="eastAsia" w:ascii="仿宋" w:hAnsi="仿宋" w:eastAsia="仿宋" w:cs="仿宋"/>
                <w:spacing w:val="1"/>
                <w:sz w:val="32"/>
                <w:szCs w:val="32"/>
              </w:rPr>
              <w:t>教职工额定编制数</w:t>
            </w:r>
          </w:p>
        </w:tc>
        <w:tc>
          <w:tcPr>
            <w:tcW w:w="819" w:type="dxa"/>
            <w:tcBorders>
              <w:top w:val="single" w:color="000000" w:sz="4" w:space="0"/>
              <w:left w:val="single" w:color="auto" w:sz="4" w:space="0"/>
              <w:bottom w:val="single" w:color="000000" w:sz="4" w:space="0"/>
              <w:right w:val="single" w:color="000000" w:sz="4" w:space="0"/>
            </w:tcBorders>
            <w:noWrap/>
          </w:tcPr>
          <w:p>
            <w:pPr>
              <w:pStyle w:val="38"/>
              <w:spacing w:before="146" w:line="223" w:lineRule="auto"/>
              <w:ind w:left="286"/>
              <w:jc w:val="both"/>
              <w:rPr>
                <w:rFonts w:hint="eastAsia" w:ascii="仿宋" w:hAnsi="仿宋" w:eastAsia="仿宋" w:cs="仿宋"/>
                <w:sz w:val="32"/>
                <w:szCs w:val="32"/>
              </w:rPr>
            </w:pPr>
            <w:r>
              <w:rPr>
                <w:rFonts w:hint="eastAsia" w:ascii="仿宋" w:hAnsi="仿宋" w:eastAsia="仿宋" w:cs="仿宋"/>
                <w:sz w:val="32"/>
                <w:szCs w:val="32"/>
              </w:rPr>
              <w:t>人</w:t>
            </w:r>
          </w:p>
        </w:tc>
        <w:tc>
          <w:tcPr>
            <w:tcW w:w="115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191</w:t>
            </w:r>
          </w:p>
        </w:tc>
        <w:tc>
          <w:tcPr>
            <w:tcW w:w="115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804" w:type="dxa"/>
            <w:vMerge w:val="continue"/>
            <w:tcBorders>
              <w:top w:val="single" w:color="auto" w:sz="4" w:space="0"/>
              <w:left w:val="single" w:color="auto" w:sz="4" w:space="0"/>
              <w:bottom w:val="single" w:color="auto" w:sz="4" w:space="0"/>
              <w:right w:val="single" w:color="auto" w:sz="4" w:space="0"/>
            </w:tcBorders>
            <w:noWrap/>
          </w:tcPr>
          <w:p>
            <w:pPr>
              <w:rPr>
                <w:rFonts w:hint="eastAsia" w:ascii="仿宋" w:hAnsi="仿宋" w:eastAsia="仿宋" w:cs="仿宋"/>
                <w:sz w:val="32"/>
                <w:szCs w:val="32"/>
              </w:rPr>
            </w:pPr>
          </w:p>
        </w:tc>
        <w:tc>
          <w:tcPr>
            <w:tcW w:w="4544" w:type="dxa"/>
            <w:tcBorders>
              <w:top w:val="single" w:color="auto" w:sz="4" w:space="0"/>
              <w:left w:val="single" w:color="auto" w:sz="4" w:space="0"/>
              <w:bottom w:val="single" w:color="auto" w:sz="4" w:space="0"/>
              <w:right w:val="single" w:color="auto" w:sz="4" w:space="0"/>
            </w:tcBorders>
            <w:noWrap/>
          </w:tcPr>
          <w:p>
            <w:pPr>
              <w:pStyle w:val="38"/>
              <w:spacing w:before="142" w:line="218" w:lineRule="auto"/>
              <w:ind w:left="120"/>
              <w:jc w:val="both"/>
              <w:rPr>
                <w:rFonts w:hint="eastAsia" w:ascii="仿宋" w:hAnsi="仿宋" w:eastAsia="仿宋" w:cs="仿宋"/>
                <w:sz w:val="32"/>
                <w:szCs w:val="32"/>
              </w:rPr>
            </w:pPr>
            <w:r>
              <w:rPr>
                <w:rFonts w:hint="eastAsia" w:ascii="仿宋" w:hAnsi="仿宋" w:eastAsia="仿宋" w:cs="仿宋"/>
                <w:spacing w:val="1"/>
                <w:sz w:val="32"/>
                <w:szCs w:val="32"/>
              </w:rPr>
              <w:t>教职工总数</w:t>
            </w:r>
          </w:p>
        </w:tc>
        <w:tc>
          <w:tcPr>
            <w:tcW w:w="819" w:type="dxa"/>
            <w:tcBorders>
              <w:top w:val="single" w:color="000000" w:sz="4" w:space="0"/>
              <w:left w:val="single" w:color="auto" w:sz="4" w:space="0"/>
              <w:bottom w:val="single" w:color="000000" w:sz="4" w:space="0"/>
              <w:right w:val="single" w:color="000000" w:sz="4" w:space="0"/>
            </w:tcBorders>
            <w:noWrap/>
          </w:tcPr>
          <w:p>
            <w:pPr>
              <w:pStyle w:val="38"/>
              <w:spacing w:before="146" w:line="223" w:lineRule="auto"/>
              <w:ind w:left="286"/>
              <w:jc w:val="both"/>
              <w:rPr>
                <w:rFonts w:hint="eastAsia" w:ascii="仿宋" w:hAnsi="仿宋" w:eastAsia="仿宋" w:cs="仿宋"/>
                <w:sz w:val="32"/>
                <w:szCs w:val="32"/>
              </w:rPr>
            </w:pPr>
            <w:r>
              <w:rPr>
                <w:rFonts w:hint="eastAsia" w:ascii="仿宋" w:hAnsi="仿宋" w:eastAsia="仿宋" w:cs="仿宋"/>
                <w:sz w:val="32"/>
                <w:szCs w:val="32"/>
              </w:rPr>
              <w:t>人</w:t>
            </w:r>
          </w:p>
        </w:tc>
        <w:tc>
          <w:tcPr>
            <w:tcW w:w="115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216</w:t>
            </w:r>
          </w:p>
        </w:tc>
        <w:tc>
          <w:tcPr>
            <w:tcW w:w="115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216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804" w:type="dxa"/>
            <w:vMerge w:val="continue"/>
            <w:tcBorders>
              <w:top w:val="single" w:color="auto" w:sz="4" w:space="0"/>
              <w:left w:val="single" w:color="auto" w:sz="4" w:space="0"/>
              <w:bottom w:val="single" w:color="auto" w:sz="4" w:space="0"/>
              <w:right w:val="single" w:color="auto" w:sz="4" w:space="0"/>
            </w:tcBorders>
            <w:noWrap/>
          </w:tcPr>
          <w:p>
            <w:pPr>
              <w:rPr>
                <w:rFonts w:hint="eastAsia" w:ascii="仿宋" w:hAnsi="仿宋" w:eastAsia="仿宋" w:cs="仿宋"/>
                <w:sz w:val="32"/>
                <w:szCs w:val="32"/>
              </w:rPr>
            </w:pPr>
          </w:p>
        </w:tc>
        <w:tc>
          <w:tcPr>
            <w:tcW w:w="4544" w:type="dxa"/>
            <w:tcBorders>
              <w:top w:val="single" w:color="auto" w:sz="4" w:space="0"/>
              <w:left w:val="single" w:color="auto" w:sz="4" w:space="0"/>
              <w:bottom w:val="single" w:color="auto" w:sz="4" w:space="0"/>
              <w:right w:val="single" w:color="auto" w:sz="4" w:space="0"/>
            </w:tcBorders>
            <w:noWrap/>
          </w:tcPr>
          <w:p>
            <w:pPr>
              <w:pStyle w:val="38"/>
              <w:spacing w:before="152" w:line="218" w:lineRule="auto"/>
              <w:ind w:left="120"/>
              <w:jc w:val="both"/>
              <w:rPr>
                <w:rFonts w:hint="eastAsia" w:ascii="仿宋" w:hAnsi="仿宋" w:eastAsia="仿宋" w:cs="仿宋"/>
                <w:sz w:val="32"/>
                <w:szCs w:val="32"/>
              </w:rPr>
            </w:pPr>
            <w:r>
              <w:rPr>
                <w:rFonts w:hint="eastAsia" w:ascii="仿宋" w:hAnsi="仿宋" w:eastAsia="仿宋" w:cs="仿宋"/>
                <w:spacing w:val="-1"/>
                <w:sz w:val="32"/>
                <w:szCs w:val="32"/>
              </w:rPr>
              <w:t>其中：专任教师总数</w:t>
            </w:r>
          </w:p>
        </w:tc>
        <w:tc>
          <w:tcPr>
            <w:tcW w:w="819" w:type="dxa"/>
            <w:tcBorders>
              <w:top w:val="single" w:color="000000" w:sz="4" w:space="0"/>
              <w:left w:val="single" w:color="auto" w:sz="4" w:space="0"/>
              <w:bottom w:val="single" w:color="000000" w:sz="4" w:space="0"/>
              <w:right w:val="single" w:color="000000" w:sz="4" w:space="0"/>
            </w:tcBorders>
            <w:noWrap/>
          </w:tcPr>
          <w:p>
            <w:pPr>
              <w:pStyle w:val="38"/>
              <w:spacing w:before="156" w:line="223" w:lineRule="auto"/>
              <w:ind w:left="286"/>
              <w:jc w:val="both"/>
              <w:rPr>
                <w:rFonts w:hint="eastAsia" w:ascii="仿宋" w:hAnsi="仿宋" w:eastAsia="仿宋" w:cs="仿宋"/>
                <w:sz w:val="32"/>
                <w:szCs w:val="32"/>
              </w:rPr>
            </w:pPr>
            <w:r>
              <w:rPr>
                <w:rFonts w:hint="eastAsia" w:ascii="仿宋" w:hAnsi="仿宋" w:eastAsia="仿宋" w:cs="仿宋"/>
                <w:sz w:val="32"/>
                <w:szCs w:val="32"/>
              </w:rPr>
              <w:t>人</w:t>
            </w:r>
          </w:p>
        </w:tc>
        <w:tc>
          <w:tcPr>
            <w:tcW w:w="115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143</w:t>
            </w:r>
          </w:p>
        </w:tc>
        <w:tc>
          <w:tcPr>
            <w:tcW w:w="115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804" w:type="dxa"/>
            <w:vMerge w:val="continue"/>
            <w:tcBorders>
              <w:top w:val="single" w:color="auto" w:sz="4" w:space="0"/>
              <w:left w:val="single" w:color="auto" w:sz="4" w:space="0"/>
              <w:bottom w:val="nil"/>
              <w:right w:val="single" w:color="000000" w:sz="4" w:space="0"/>
            </w:tcBorders>
            <w:noWrap/>
          </w:tcPr>
          <w:p>
            <w:pPr>
              <w:rPr>
                <w:rFonts w:hint="eastAsia" w:ascii="仿宋" w:hAnsi="仿宋" w:eastAsia="仿宋" w:cs="仿宋"/>
                <w:sz w:val="32"/>
                <w:szCs w:val="32"/>
              </w:rPr>
            </w:pPr>
          </w:p>
        </w:tc>
        <w:tc>
          <w:tcPr>
            <w:tcW w:w="4544" w:type="dxa"/>
            <w:tcBorders>
              <w:top w:val="single" w:color="auto" w:sz="4" w:space="0"/>
              <w:left w:val="single" w:color="000000" w:sz="4" w:space="0"/>
              <w:bottom w:val="single" w:color="000000" w:sz="4" w:space="0"/>
              <w:right w:val="single" w:color="000000" w:sz="4" w:space="0"/>
            </w:tcBorders>
            <w:noWrap/>
          </w:tcPr>
          <w:p>
            <w:pPr>
              <w:pStyle w:val="38"/>
              <w:spacing w:before="143" w:line="218" w:lineRule="auto"/>
              <w:ind w:left="821"/>
              <w:jc w:val="both"/>
              <w:rPr>
                <w:rFonts w:hint="eastAsia" w:ascii="仿宋" w:hAnsi="仿宋" w:eastAsia="仿宋" w:cs="仿宋"/>
                <w:sz w:val="32"/>
                <w:szCs w:val="32"/>
              </w:rPr>
            </w:pPr>
            <w:r>
              <w:rPr>
                <w:rFonts w:hint="eastAsia" w:ascii="仿宋" w:hAnsi="仿宋" w:eastAsia="仿宋" w:cs="仿宋"/>
                <w:sz w:val="32"/>
                <w:szCs w:val="32"/>
              </w:rPr>
              <w:t>思政课教师数*</w:t>
            </w:r>
          </w:p>
        </w:tc>
        <w:tc>
          <w:tcPr>
            <w:tcW w:w="819" w:type="dxa"/>
            <w:tcBorders>
              <w:top w:val="single" w:color="000000" w:sz="4" w:space="0"/>
              <w:left w:val="single" w:color="000000" w:sz="4" w:space="0"/>
              <w:bottom w:val="single" w:color="000000" w:sz="4" w:space="0"/>
              <w:right w:val="single" w:color="000000" w:sz="4" w:space="0"/>
            </w:tcBorders>
            <w:noWrap/>
          </w:tcPr>
          <w:p>
            <w:pPr>
              <w:pStyle w:val="38"/>
              <w:spacing w:before="147" w:line="223" w:lineRule="auto"/>
              <w:ind w:left="286"/>
              <w:jc w:val="both"/>
              <w:rPr>
                <w:rFonts w:hint="eastAsia" w:ascii="仿宋" w:hAnsi="仿宋" w:eastAsia="仿宋" w:cs="仿宋"/>
                <w:sz w:val="32"/>
                <w:szCs w:val="32"/>
              </w:rPr>
            </w:pPr>
            <w:r>
              <w:rPr>
                <w:rFonts w:hint="eastAsia" w:ascii="仿宋" w:hAnsi="仿宋" w:eastAsia="仿宋" w:cs="仿宋"/>
                <w:sz w:val="32"/>
                <w:szCs w:val="32"/>
              </w:rPr>
              <w:t>人</w:t>
            </w:r>
          </w:p>
        </w:tc>
        <w:tc>
          <w:tcPr>
            <w:tcW w:w="115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9</w:t>
            </w:r>
          </w:p>
        </w:tc>
        <w:tc>
          <w:tcPr>
            <w:tcW w:w="115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804" w:type="dxa"/>
            <w:vMerge w:val="continue"/>
            <w:tcBorders>
              <w:top w:val="nil"/>
              <w:left w:val="single" w:color="auto" w:sz="4" w:space="0"/>
              <w:bottom w:val="nil"/>
              <w:right w:val="single" w:color="000000" w:sz="4" w:space="0"/>
            </w:tcBorders>
            <w:noWrap/>
          </w:tcPr>
          <w:p>
            <w:pPr>
              <w:rPr>
                <w:rFonts w:hint="eastAsia" w:ascii="仿宋" w:hAnsi="仿宋" w:eastAsia="仿宋" w:cs="仿宋"/>
                <w:sz w:val="32"/>
                <w:szCs w:val="32"/>
              </w:rPr>
            </w:pPr>
          </w:p>
        </w:tc>
        <w:tc>
          <w:tcPr>
            <w:tcW w:w="4544" w:type="dxa"/>
            <w:tcBorders>
              <w:top w:val="single" w:color="000000" w:sz="4" w:space="0"/>
              <w:left w:val="single" w:color="000000" w:sz="4" w:space="0"/>
              <w:bottom w:val="single" w:color="000000" w:sz="4" w:space="0"/>
              <w:right w:val="single" w:color="000000" w:sz="4" w:space="0"/>
            </w:tcBorders>
            <w:noWrap/>
          </w:tcPr>
          <w:p>
            <w:pPr>
              <w:pStyle w:val="38"/>
              <w:spacing w:before="143" w:line="218" w:lineRule="auto"/>
              <w:ind w:left="810"/>
              <w:jc w:val="both"/>
              <w:rPr>
                <w:rFonts w:hint="eastAsia" w:ascii="仿宋" w:hAnsi="仿宋" w:eastAsia="仿宋" w:cs="仿宋"/>
                <w:sz w:val="32"/>
                <w:szCs w:val="32"/>
              </w:rPr>
            </w:pPr>
            <w:r>
              <w:rPr>
                <w:rFonts w:hint="eastAsia" w:ascii="仿宋" w:hAnsi="仿宋" w:eastAsia="仿宋" w:cs="仿宋"/>
                <w:spacing w:val="-1"/>
                <w:sz w:val="32"/>
                <w:szCs w:val="32"/>
              </w:rPr>
              <w:t>体育课专任教师数</w:t>
            </w:r>
          </w:p>
        </w:tc>
        <w:tc>
          <w:tcPr>
            <w:tcW w:w="819" w:type="dxa"/>
            <w:tcBorders>
              <w:top w:val="single" w:color="000000" w:sz="4" w:space="0"/>
              <w:left w:val="single" w:color="000000" w:sz="4" w:space="0"/>
              <w:bottom w:val="single" w:color="000000" w:sz="4" w:space="0"/>
              <w:right w:val="single" w:color="000000" w:sz="4" w:space="0"/>
            </w:tcBorders>
            <w:noWrap/>
          </w:tcPr>
          <w:p>
            <w:pPr>
              <w:pStyle w:val="38"/>
              <w:spacing w:before="147" w:line="223" w:lineRule="auto"/>
              <w:ind w:left="286"/>
              <w:jc w:val="both"/>
              <w:rPr>
                <w:rFonts w:hint="eastAsia" w:ascii="仿宋" w:hAnsi="仿宋" w:eastAsia="仿宋" w:cs="仿宋"/>
                <w:sz w:val="32"/>
                <w:szCs w:val="32"/>
              </w:rPr>
            </w:pPr>
            <w:r>
              <w:rPr>
                <w:rFonts w:hint="eastAsia" w:ascii="仿宋" w:hAnsi="仿宋" w:eastAsia="仿宋" w:cs="仿宋"/>
                <w:sz w:val="32"/>
                <w:szCs w:val="32"/>
              </w:rPr>
              <w:t>人</w:t>
            </w:r>
          </w:p>
        </w:tc>
        <w:tc>
          <w:tcPr>
            <w:tcW w:w="115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7</w:t>
            </w:r>
          </w:p>
        </w:tc>
        <w:tc>
          <w:tcPr>
            <w:tcW w:w="115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804" w:type="dxa"/>
            <w:vMerge w:val="continue"/>
            <w:tcBorders>
              <w:top w:val="nil"/>
              <w:left w:val="single" w:color="auto" w:sz="4" w:space="0"/>
              <w:bottom w:val="nil"/>
              <w:right w:val="single" w:color="000000" w:sz="4" w:space="0"/>
            </w:tcBorders>
            <w:noWrap/>
          </w:tcPr>
          <w:p>
            <w:pPr>
              <w:rPr>
                <w:rFonts w:hint="eastAsia" w:ascii="仿宋" w:hAnsi="仿宋" w:eastAsia="仿宋" w:cs="仿宋"/>
                <w:sz w:val="32"/>
                <w:szCs w:val="32"/>
              </w:rPr>
            </w:pPr>
          </w:p>
        </w:tc>
        <w:tc>
          <w:tcPr>
            <w:tcW w:w="4544" w:type="dxa"/>
            <w:tcBorders>
              <w:top w:val="single" w:color="000000" w:sz="4" w:space="0"/>
              <w:left w:val="single" w:color="000000" w:sz="4" w:space="0"/>
              <w:bottom w:val="single" w:color="000000" w:sz="4" w:space="0"/>
              <w:right w:val="single" w:color="000000" w:sz="4" w:space="0"/>
            </w:tcBorders>
            <w:noWrap/>
          </w:tcPr>
          <w:p>
            <w:pPr>
              <w:pStyle w:val="38"/>
              <w:spacing w:before="143" w:line="218" w:lineRule="auto"/>
              <w:ind w:left="120"/>
              <w:jc w:val="both"/>
              <w:rPr>
                <w:rFonts w:hint="eastAsia" w:ascii="仿宋" w:hAnsi="仿宋" w:eastAsia="仿宋" w:cs="仿宋"/>
                <w:sz w:val="32"/>
                <w:szCs w:val="32"/>
              </w:rPr>
            </w:pPr>
            <w:r>
              <w:rPr>
                <w:rFonts w:hint="eastAsia" w:ascii="仿宋" w:hAnsi="仿宋" w:eastAsia="仿宋" w:cs="仿宋"/>
                <w:spacing w:val="1"/>
                <w:sz w:val="32"/>
                <w:szCs w:val="32"/>
              </w:rPr>
              <w:t>美育课专任教师数</w:t>
            </w:r>
          </w:p>
        </w:tc>
        <w:tc>
          <w:tcPr>
            <w:tcW w:w="819" w:type="dxa"/>
            <w:tcBorders>
              <w:top w:val="single" w:color="000000" w:sz="4" w:space="0"/>
              <w:left w:val="single" w:color="000000" w:sz="4" w:space="0"/>
              <w:bottom w:val="single" w:color="000000" w:sz="4" w:space="0"/>
              <w:right w:val="single" w:color="000000" w:sz="4" w:space="0"/>
            </w:tcBorders>
            <w:noWrap/>
          </w:tcPr>
          <w:p>
            <w:pPr>
              <w:pStyle w:val="38"/>
              <w:spacing w:before="147" w:line="223" w:lineRule="auto"/>
              <w:ind w:left="286"/>
              <w:jc w:val="both"/>
              <w:rPr>
                <w:rFonts w:hint="eastAsia" w:ascii="仿宋" w:hAnsi="仿宋" w:eastAsia="仿宋" w:cs="仿宋"/>
                <w:sz w:val="32"/>
                <w:szCs w:val="32"/>
              </w:rPr>
            </w:pPr>
            <w:r>
              <w:rPr>
                <w:rFonts w:hint="eastAsia" w:ascii="仿宋" w:hAnsi="仿宋" w:eastAsia="仿宋" w:cs="仿宋"/>
                <w:sz w:val="32"/>
                <w:szCs w:val="32"/>
              </w:rPr>
              <w:t>人</w:t>
            </w:r>
          </w:p>
        </w:tc>
        <w:tc>
          <w:tcPr>
            <w:tcW w:w="1159" w:type="dxa"/>
            <w:tcBorders>
              <w:top w:val="single" w:color="000000" w:sz="4" w:space="0"/>
              <w:left w:val="single" w:color="000000" w:sz="4" w:space="0"/>
              <w:bottom w:val="single" w:color="000000" w:sz="4" w:space="0"/>
              <w:right w:val="single" w:color="000000" w:sz="4" w:space="0"/>
            </w:tcBorders>
            <w:noWrap/>
          </w:tcPr>
          <w:p>
            <w:pPr>
              <w:pStyle w:val="38"/>
              <w:spacing w:before="143" w:line="218" w:lineRule="auto"/>
              <w:jc w:val="both"/>
              <w:rPr>
                <w:rFonts w:hint="default" w:ascii="仿宋" w:hAnsi="仿宋" w:eastAsia="仿宋" w:cs="仿宋"/>
                <w:sz w:val="32"/>
                <w:szCs w:val="32"/>
                <w:lang w:val="en-US"/>
              </w:rPr>
            </w:pPr>
            <w:r>
              <w:rPr>
                <w:rFonts w:hint="default" w:ascii="仿宋" w:hAnsi="仿宋" w:eastAsia="仿宋" w:cs="仿宋"/>
                <w:spacing w:val="-4"/>
                <w:sz w:val="32"/>
                <w:szCs w:val="32"/>
                <w:lang w:val="en-US"/>
              </w:rPr>
              <w:t>10</w:t>
            </w:r>
          </w:p>
        </w:tc>
        <w:tc>
          <w:tcPr>
            <w:tcW w:w="115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804" w:type="dxa"/>
            <w:vMerge w:val="continue"/>
            <w:tcBorders>
              <w:top w:val="nil"/>
              <w:left w:val="single" w:color="auto" w:sz="4" w:space="0"/>
              <w:bottom w:val="nil"/>
              <w:right w:val="single" w:color="000000" w:sz="4" w:space="0"/>
            </w:tcBorders>
            <w:noWrap/>
          </w:tcPr>
          <w:p>
            <w:pPr>
              <w:rPr>
                <w:rFonts w:hint="eastAsia" w:ascii="仿宋" w:hAnsi="仿宋" w:eastAsia="仿宋" w:cs="仿宋"/>
                <w:sz w:val="32"/>
                <w:szCs w:val="32"/>
              </w:rPr>
            </w:pPr>
          </w:p>
        </w:tc>
        <w:tc>
          <w:tcPr>
            <w:tcW w:w="4544" w:type="dxa"/>
            <w:tcBorders>
              <w:top w:val="single" w:color="000000" w:sz="4" w:space="0"/>
              <w:left w:val="single" w:color="000000" w:sz="4" w:space="0"/>
              <w:bottom w:val="single" w:color="000000" w:sz="4" w:space="0"/>
              <w:right w:val="single" w:color="000000" w:sz="4" w:space="0"/>
            </w:tcBorders>
            <w:noWrap/>
          </w:tcPr>
          <w:p>
            <w:pPr>
              <w:pStyle w:val="38"/>
              <w:spacing w:before="143" w:line="218" w:lineRule="auto"/>
              <w:ind w:left="120"/>
              <w:jc w:val="both"/>
              <w:rPr>
                <w:rFonts w:hint="eastAsia" w:ascii="仿宋" w:hAnsi="仿宋" w:eastAsia="仿宋" w:cs="仿宋"/>
                <w:sz w:val="32"/>
                <w:szCs w:val="32"/>
              </w:rPr>
            </w:pPr>
            <w:r>
              <w:rPr>
                <w:rFonts w:hint="eastAsia" w:ascii="仿宋" w:hAnsi="仿宋" w:eastAsia="仿宋" w:cs="仿宋"/>
                <w:spacing w:val="-2"/>
                <w:sz w:val="32"/>
                <w:szCs w:val="32"/>
              </w:rPr>
              <w:t>辅导员人数*</w:t>
            </w:r>
          </w:p>
        </w:tc>
        <w:tc>
          <w:tcPr>
            <w:tcW w:w="819" w:type="dxa"/>
            <w:tcBorders>
              <w:top w:val="single" w:color="000000" w:sz="4" w:space="0"/>
              <w:left w:val="single" w:color="000000" w:sz="4" w:space="0"/>
              <w:bottom w:val="single" w:color="000000" w:sz="4" w:space="0"/>
              <w:right w:val="single" w:color="000000" w:sz="4" w:space="0"/>
            </w:tcBorders>
            <w:noWrap/>
          </w:tcPr>
          <w:p>
            <w:pPr>
              <w:pStyle w:val="38"/>
              <w:spacing w:before="147" w:line="223" w:lineRule="auto"/>
              <w:ind w:left="286"/>
              <w:jc w:val="both"/>
              <w:rPr>
                <w:rFonts w:hint="eastAsia" w:ascii="仿宋" w:hAnsi="仿宋" w:eastAsia="仿宋" w:cs="仿宋"/>
                <w:sz w:val="32"/>
                <w:szCs w:val="32"/>
              </w:rPr>
            </w:pPr>
            <w:r>
              <w:rPr>
                <w:rFonts w:hint="eastAsia" w:ascii="仿宋" w:hAnsi="仿宋" w:eastAsia="仿宋" w:cs="仿宋"/>
                <w:sz w:val="32"/>
                <w:szCs w:val="32"/>
              </w:rPr>
              <w:t>人</w:t>
            </w:r>
          </w:p>
        </w:tc>
        <w:tc>
          <w:tcPr>
            <w:tcW w:w="1159" w:type="dxa"/>
            <w:tcBorders>
              <w:top w:val="single" w:color="000000" w:sz="4" w:space="0"/>
              <w:left w:val="single" w:color="000000" w:sz="4" w:space="0"/>
              <w:bottom w:val="single" w:color="000000" w:sz="4" w:space="0"/>
              <w:right w:val="single" w:color="000000" w:sz="4" w:space="0"/>
            </w:tcBorders>
            <w:noWrap/>
          </w:tcPr>
          <w:p>
            <w:pPr>
              <w:pStyle w:val="38"/>
              <w:spacing w:before="143" w:line="218" w:lineRule="auto"/>
              <w:jc w:val="both"/>
              <w:rPr>
                <w:rFonts w:hint="eastAsia" w:ascii="仿宋" w:hAnsi="仿宋" w:eastAsia="仿宋" w:cs="仿宋"/>
                <w:sz w:val="32"/>
                <w:szCs w:val="32"/>
              </w:rPr>
            </w:pPr>
            <w:r>
              <w:rPr>
                <w:rFonts w:hint="eastAsia" w:ascii="仿宋" w:hAnsi="仿宋" w:eastAsia="仿宋" w:cs="仿宋"/>
                <w:spacing w:val="-4"/>
                <w:sz w:val="28"/>
                <w:szCs w:val="28"/>
              </w:rPr>
              <w:t>仅高职填报</w:t>
            </w:r>
          </w:p>
        </w:tc>
        <w:tc>
          <w:tcPr>
            <w:tcW w:w="1153" w:type="dxa"/>
            <w:tcBorders>
              <w:top w:val="single" w:color="000000" w:sz="4" w:space="0"/>
              <w:left w:val="single" w:color="000000" w:sz="4" w:space="0"/>
              <w:bottom w:val="single" w:color="000000" w:sz="4" w:space="0"/>
              <w:right w:val="single" w:color="000000" w:sz="4" w:space="0"/>
            </w:tcBorders>
            <w:noWrap/>
          </w:tcPr>
          <w:p>
            <w:pPr>
              <w:jc w:val="both"/>
              <w:rPr>
                <w:rFonts w:hint="eastAsia" w:ascii="仿宋" w:hAnsi="仿宋" w:eastAsia="仿宋" w:cs="仿宋"/>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804" w:type="dxa"/>
            <w:vMerge w:val="continue"/>
            <w:tcBorders>
              <w:top w:val="nil"/>
              <w:left w:val="single" w:color="auto" w:sz="4" w:space="0"/>
              <w:bottom w:val="single" w:color="000000" w:sz="4" w:space="0"/>
              <w:right w:val="single" w:color="000000" w:sz="4" w:space="0"/>
            </w:tcBorders>
            <w:noWrap/>
          </w:tcPr>
          <w:p>
            <w:pPr>
              <w:rPr>
                <w:rFonts w:hint="eastAsia" w:ascii="仿宋" w:hAnsi="仿宋" w:eastAsia="仿宋" w:cs="仿宋"/>
                <w:sz w:val="32"/>
                <w:szCs w:val="32"/>
              </w:rPr>
            </w:pPr>
          </w:p>
        </w:tc>
        <w:tc>
          <w:tcPr>
            <w:tcW w:w="4544" w:type="dxa"/>
            <w:tcBorders>
              <w:top w:val="single" w:color="000000" w:sz="4" w:space="0"/>
              <w:left w:val="single" w:color="000000" w:sz="4" w:space="0"/>
              <w:bottom w:val="single" w:color="000000" w:sz="4" w:space="0"/>
              <w:right w:val="single" w:color="000000" w:sz="4" w:space="0"/>
            </w:tcBorders>
            <w:noWrap/>
          </w:tcPr>
          <w:p>
            <w:pPr>
              <w:pStyle w:val="38"/>
              <w:spacing w:before="154" w:line="218" w:lineRule="auto"/>
              <w:ind w:left="120"/>
              <w:jc w:val="both"/>
              <w:rPr>
                <w:rFonts w:hint="eastAsia" w:ascii="仿宋" w:hAnsi="仿宋" w:eastAsia="仿宋" w:cs="仿宋"/>
                <w:sz w:val="32"/>
                <w:szCs w:val="32"/>
              </w:rPr>
            </w:pPr>
            <w:r>
              <w:rPr>
                <w:rFonts w:hint="eastAsia" w:ascii="仿宋" w:hAnsi="仿宋" w:eastAsia="仿宋" w:cs="仿宋"/>
                <w:spacing w:val="-2"/>
                <w:sz w:val="32"/>
                <w:szCs w:val="32"/>
              </w:rPr>
              <w:t>班主任人数</w:t>
            </w:r>
          </w:p>
        </w:tc>
        <w:tc>
          <w:tcPr>
            <w:tcW w:w="819" w:type="dxa"/>
            <w:tcBorders>
              <w:top w:val="single" w:color="000000" w:sz="4" w:space="0"/>
              <w:left w:val="single" w:color="000000" w:sz="4" w:space="0"/>
              <w:bottom w:val="single" w:color="000000" w:sz="4" w:space="0"/>
              <w:right w:val="single" w:color="000000" w:sz="4" w:space="0"/>
            </w:tcBorders>
            <w:noWrap/>
          </w:tcPr>
          <w:p>
            <w:pPr>
              <w:pStyle w:val="38"/>
              <w:spacing w:before="158" w:line="223" w:lineRule="auto"/>
              <w:ind w:left="286"/>
              <w:jc w:val="both"/>
              <w:rPr>
                <w:rFonts w:hint="eastAsia" w:ascii="仿宋" w:hAnsi="仿宋" w:eastAsia="仿宋" w:cs="仿宋"/>
                <w:sz w:val="32"/>
                <w:szCs w:val="32"/>
              </w:rPr>
            </w:pPr>
            <w:r>
              <w:rPr>
                <w:rFonts w:hint="eastAsia" w:ascii="仿宋" w:hAnsi="仿宋" w:eastAsia="仿宋" w:cs="仿宋"/>
                <w:sz w:val="32"/>
                <w:szCs w:val="32"/>
              </w:rPr>
              <w:t>人</w:t>
            </w:r>
          </w:p>
        </w:tc>
        <w:tc>
          <w:tcPr>
            <w:tcW w:w="115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62</w:t>
            </w:r>
          </w:p>
        </w:tc>
        <w:tc>
          <w:tcPr>
            <w:tcW w:w="115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804" w:type="dxa"/>
            <w:vMerge w:val="restart"/>
            <w:tcBorders>
              <w:top w:val="single" w:color="000000" w:sz="4" w:space="0"/>
              <w:left w:val="single" w:color="000000" w:sz="4" w:space="0"/>
              <w:bottom w:val="nil"/>
              <w:right w:val="single" w:color="000000" w:sz="4" w:space="0"/>
            </w:tcBorders>
            <w:noWrap/>
          </w:tcPr>
          <w:p>
            <w:pPr>
              <w:spacing w:line="386" w:lineRule="auto"/>
              <w:jc w:val="both"/>
              <w:rPr>
                <w:rFonts w:hint="eastAsia" w:ascii="仿宋" w:hAnsi="仿宋" w:eastAsia="仿宋" w:cs="仿宋"/>
                <w:sz w:val="32"/>
                <w:szCs w:val="32"/>
              </w:rPr>
            </w:pPr>
          </w:p>
          <w:p>
            <w:pPr>
              <w:pStyle w:val="38"/>
              <w:spacing w:before="75" w:line="182" w:lineRule="auto"/>
              <w:ind w:left="335"/>
              <w:jc w:val="both"/>
              <w:rPr>
                <w:rFonts w:hint="eastAsia" w:ascii="仿宋" w:hAnsi="仿宋" w:eastAsia="仿宋" w:cs="仿宋"/>
                <w:sz w:val="32"/>
                <w:szCs w:val="32"/>
              </w:rPr>
            </w:pPr>
            <w:r>
              <w:rPr>
                <w:rFonts w:hint="eastAsia" w:ascii="仿宋" w:hAnsi="仿宋" w:eastAsia="仿宋" w:cs="仿宋"/>
                <w:sz w:val="32"/>
                <w:szCs w:val="32"/>
              </w:rPr>
              <w:t>5</w:t>
            </w:r>
          </w:p>
        </w:tc>
        <w:tc>
          <w:tcPr>
            <w:tcW w:w="4544" w:type="dxa"/>
            <w:tcBorders>
              <w:top w:val="single" w:color="000000" w:sz="4" w:space="0"/>
              <w:left w:val="single" w:color="000000" w:sz="4" w:space="0"/>
              <w:bottom w:val="single" w:color="000000" w:sz="4" w:space="0"/>
              <w:right w:val="single" w:color="000000" w:sz="4" w:space="0"/>
            </w:tcBorders>
            <w:noWrap/>
          </w:tcPr>
          <w:p>
            <w:pPr>
              <w:pStyle w:val="38"/>
              <w:spacing w:before="144" w:line="218" w:lineRule="auto"/>
              <w:ind w:left="120"/>
              <w:jc w:val="both"/>
              <w:rPr>
                <w:rFonts w:hint="eastAsia" w:ascii="仿宋" w:hAnsi="仿宋" w:eastAsia="仿宋" w:cs="仿宋"/>
                <w:sz w:val="32"/>
                <w:szCs w:val="32"/>
              </w:rPr>
            </w:pPr>
            <w:r>
              <w:rPr>
                <w:rFonts w:hint="eastAsia" w:ascii="仿宋" w:hAnsi="仿宋" w:eastAsia="仿宋" w:cs="仿宋"/>
                <w:sz w:val="32"/>
                <w:szCs w:val="32"/>
              </w:rPr>
              <w:t>参加国家学生体质健康标准测试人数</w:t>
            </w:r>
          </w:p>
        </w:tc>
        <w:tc>
          <w:tcPr>
            <w:tcW w:w="819" w:type="dxa"/>
            <w:tcBorders>
              <w:top w:val="single" w:color="000000" w:sz="4" w:space="0"/>
              <w:left w:val="single" w:color="000000" w:sz="4" w:space="0"/>
              <w:bottom w:val="single" w:color="000000" w:sz="4" w:space="0"/>
              <w:right w:val="single" w:color="000000" w:sz="4" w:space="0"/>
            </w:tcBorders>
            <w:noWrap/>
          </w:tcPr>
          <w:p>
            <w:pPr>
              <w:pStyle w:val="38"/>
              <w:spacing w:before="148" w:line="223" w:lineRule="auto"/>
              <w:ind w:left="286"/>
              <w:jc w:val="both"/>
              <w:rPr>
                <w:rFonts w:hint="eastAsia" w:ascii="仿宋" w:hAnsi="仿宋" w:eastAsia="仿宋" w:cs="仿宋"/>
                <w:sz w:val="32"/>
                <w:szCs w:val="32"/>
              </w:rPr>
            </w:pPr>
            <w:r>
              <w:rPr>
                <w:rFonts w:hint="eastAsia" w:ascii="仿宋" w:hAnsi="仿宋" w:eastAsia="仿宋" w:cs="仿宋"/>
                <w:sz w:val="32"/>
                <w:szCs w:val="32"/>
              </w:rPr>
              <w:t>人</w:t>
            </w:r>
          </w:p>
        </w:tc>
        <w:tc>
          <w:tcPr>
            <w:tcW w:w="115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2050</w:t>
            </w:r>
          </w:p>
        </w:tc>
        <w:tc>
          <w:tcPr>
            <w:tcW w:w="115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2055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804" w:type="dxa"/>
            <w:vMerge w:val="continue"/>
            <w:tcBorders>
              <w:top w:val="nil"/>
              <w:left w:val="single" w:color="000000" w:sz="4" w:space="0"/>
              <w:bottom w:val="single" w:color="000000" w:sz="4" w:space="0"/>
              <w:right w:val="single" w:color="000000" w:sz="4" w:space="0"/>
            </w:tcBorders>
            <w:noWrap/>
          </w:tcPr>
          <w:p>
            <w:pPr>
              <w:rPr>
                <w:rFonts w:hint="eastAsia" w:ascii="仿宋" w:hAnsi="仿宋" w:eastAsia="仿宋" w:cs="仿宋"/>
                <w:sz w:val="32"/>
                <w:szCs w:val="32"/>
              </w:rPr>
            </w:pPr>
          </w:p>
        </w:tc>
        <w:tc>
          <w:tcPr>
            <w:tcW w:w="4544" w:type="dxa"/>
            <w:tcBorders>
              <w:top w:val="single" w:color="000000" w:sz="4" w:space="0"/>
              <w:left w:val="single" w:color="000000" w:sz="4" w:space="0"/>
              <w:bottom w:val="single" w:color="000000" w:sz="4" w:space="0"/>
              <w:right w:val="single" w:color="000000" w:sz="4" w:space="0"/>
            </w:tcBorders>
            <w:noWrap/>
          </w:tcPr>
          <w:p>
            <w:pPr>
              <w:pStyle w:val="38"/>
              <w:spacing w:before="145" w:line="218" w:lineRule="auto"/>
              <w:ind w:left="120"/>
              <w:jc w:val="both"/>
              <w:rPr>
                <w:rFonts w:hint="eastAsia" w:ascii="仿宋" w:hAnsi="仿宋" w:eastAsia="仿宋" w:cs="仿宋"/>
                <w:sz w:val="32"/>
                <w:szCs w:val="32"/>
              </w:rPr>
            </w:pPr>
            <w:r>
              <w:rPr>
                <w:rFonts w:hint="eastAsia" w:ascii="仿宋" w:hAnsi="仿宋" w:eastAsia="仿宋" w:cs="仿宋"/>
                <w:sz w:val="32"/>
                <w:szCs w:val="32"/>
              </w:rPr>
              <w:t>其中：学生体质测评合格率</w:t>
            </w:r>
          </w:p>
        </w:tc>
        <w:tc>
          <w:tcPr>
            <w:tcW w:w="819" w:type="dxa"/>
            <w:tcBorders>
              <w:top w:val="single" w:color="000000" w:sz="4" w:space="0"/>
              <w:left w:val="single" w:color="000000" w:sz="4" w:space="0"/>
              <w:bottom w:val="single" w:color="000000" w:sz="4" w:space="0"/>
              <w:right w:val="single" w:color="000000" w:sz="4" w:space="0"/>
            </w:tcBorders>
            <w:noWrap/>
          </w:tcPr>
          <w:p>
            <w:pPr>
              <w:pStyle w:val="38"/>
              <w:spacing w:before="167"/>
              <w:ind w:left="347"/>
              <w:jc w:val="both"/>
              <w:rPr>
                <w:rFonts w:hint="eastAsia" w:ascii="仿宋" w:hAnsi="仿宋" w:eastAsia="仿宋" w:cs="仿宋"/>
                <w:sz w:val="32"/>
                <w:szCs w:val="32"/>
              </w:rPr>
            </w:pPr>
            <w:r>
              <w:rPr>
                <w:rFonts w:hint="eastAsia" w:ascii="仿宋" w:hAnsi="仿宋" w:eastAsia="仿宋" w:cs="仿宋"/>
                <w:sz w:val="32"/>
                <w:szCs w:val="32"/>
              </w:rPr>
              <w:t>%</w:t>
            </w:r>
          </w:p>
        </w:tc>
        <w:tc>
          <w:tcPr>
            <w:tcW w:w="115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81</w:t>
            </w:r>
          </w:p>
        </w:tc>
        <w:tc>
          <w:tcPr>
            <w:tcW w:w="115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83.2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804" w:type="dxa"/>
            <w:tcBorders>
              <w:top w:val="single" w:color="000000" w:sz="4" w:space="0"/>
              <w:left w:val="single" w:color="000000" w:sz="4" w:space="0"/>
              <w:bottom w:val="single" w:color="000000" w:sz="4" w:space="0"/>
              <w:right w:val="single" w:color="000000" w:sz="4" w:space="0"/>
            </w:tcBorders>
            <w:noWrap/>
          </w:tcPr>
          <w:p>
            <w:pPr>
              <w:pStyle w:val="38"/>
              <w:spacing w:before="265" w:line="182" w:lineRule="auto"/>
              <w:ind w:left="335"/>
              <w:jc w:val="both"/>
              <w:rPr>
                <w:rFonts w:hint="eastAsia" w:ascii="仿宋" w:hAnsi="仿宋" w:eastAsia="仿宋" w:cs="仿宋"/>
                <w:sz w:val="32"/>
                <w:szCs w:val="32"/>
              </w:rPr>
            </w:pPr>
            <w:r>
              <w:rPr>
                <w:rFonts w:hint="eastAsia" w:ascii="仿宋" w:hAnsi="仿宋" w:eastAsia="仿宋" w:cs="仿宋"/>
                <w:sz w:val="32"/>
                <w:szCs w:val="32"/>
              </w:rPr>
              <w:t>6</w:t>
            </w:r>
          </w:p>
        </w:tc>
        <w:tc>
          <w:tcPr>
            <w:tcW w:w="4544" w:type="dxa"/>
            <w:tcBorders>
              <w:top w:val="single" w:color="000000" w:sz="4" w:space="0"/>
              <w:left w:val="single" w:color="000000" w:sz="4" w:space="0"/>
              <w:bottom w:val="single" w:color="000000" w:sz="4" w:space="0"/>
              <w:right w:val="single" w:color="000000" w:sz="4" w:space="0"/>
            </w:tcBorders>
            <w:noWrap/>
          </w:tcPr>
          <w:p>
            <w:pPr>
              <w:pStyle w:val="38"/>
              <w:spacing w:before="45" w:line="230" w:lineRule="auto"/>
              <w:ind w:left="120" w:right="512"/>
              <w:jc w:val="both"/>
              <w:rPr>
                <w:rFonts w:hint="eastAsia" w:ascii="仿宋" w:hAnsi="仿宋" w:eastAsia="仿宋" w:cs="仿宋"/>
                <w:sz w:val="32"/>
                <w:szCs w:val="32"/>
              </w:rPr>
            </w:pPr>
            <w:r>
              <w:rPr>
                <w:rFonts w:hint="eastAsia" w:ascii="仿宋" w:hAnsi="仿宋" w:eastAsia="仿宋" w:cs="仿宋"/>
                <w:spacing w:val="-1"/>
                <w:sz w:val="32"/>
                <w:szCs w:val="32"/>
              </w:rPr>
              <w:t>职业技能等级证书(含职业资格证书)获</w:t>
            </w:r>
            <w:r>
              <w:rPr>
                <w:rFonts w:hint="eastAsia" w:ascii="仿宋" w:hAnsi="仿宋" w:eastAsia="仿宋" w:cs="仿宋"/>
                <w:spacing w:val="7"/>
                <w:sz w:val="32"/>
                <w:szCs w:val="32"/>
              </w:rPr>
              <w:t xml:space="preserve"> </w:t>
            </w:r>
            <w:r>
              <w:rPr>
                <w:rFonts w:hint="eastAsia" w:ascii="仿宋" w:hAnsi="仿宋" w:eastAsia="仿宋" w:cs="仿宋"/>
                <w:spacing w:val="3"/>
                <w:sz w:val="32"/>
                <w:szCs w:val="32"/>
              </w:rPr>
              <w:t>取人数</w:t>
            </w:r>
          </w:p>
        </w:tc>
        <w:tc>
          <w:tcPr>
            <w:tcW w:w="819" w:type="dxa"/>
            <w:tcBorders>
              <w:top w:val="single" w:color="000000" w:sz="4" w:space="0"/>
              <w:left w:val="single" w:color="000000" w:sz="4" w:space="0"/>
              <w:bottom w:val="single" w:color="000000" w:sz="4" w:space="0"/>
              <w:right w:val="single" w:color="000000" w:sz="4" w:space="0"/>
            </w:tcBorders>
            <w:noWrap/>
          </w:tcPr>
          <w:p>
            <w:pPr>
              <w:pStyle w:val="38"/>
              <w:spacing w:before="210" w:line="223" w:lineRule="auto"/>
              <w:ind w:left="286"/>
              <w:jc w:val="both"/>
              <w:rPr>
                <w:rFonts w:hint="eastAsia" w:ascii="仿宋" w:hAnsi="仿宋" w:eastAsia="仿宋" w:cs="仿宋"/>
                <w:sz w:val="32"/>
                <w:szCs w:val="32"/>
              </w:rPr>
            </w:pPr>
            <w:r>
              <w:rPr>
                <w:rFonts w:hint="eastAsia" w:ascii="仿宋" w:hAnsi="仿宋" w:eastAsia="仿宋" w:cs="仿宋"/>
                <w:sz w:val="32"/>
                <w:szCs w:val="32"/>
              </w:rPr>
              <w:t>人</w:t>
            </w:r>
          </w:p>
        </w:tc>
        <w:tc>
          <w:tcPr>
            <w:tcW w:w="115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147</w:t>
            </w:r>
          </w:p>
        </w:tc>
        <w:tc>
          <w:tcPr>
            <w:tcW w:w="115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244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804" w:type="dxa"/>
            <w:tcBorders>
              <w:top w:val="single" w:color="000000" w:sz="4" w:space="0"/>
              <w:left w:val="single" w:color="000000" w:sz="4" w:space="0"/>
              <w:bottom w:val="single" w:color="000000" w:sz="4" w:space="0"/>
              <w:right w:val="single" w:color="000000" w:sz="4" w:space="0"/>
            </w:tcBorders>
            <w:noWrap/>
          </w:tcPr>
          <w:p>
            <w:pPr>
              <w:pStyle w:val="38"/>
              <w:spacing w:before="208" w:line="182" w:lineRule="auto"/>
              <w:ind w:left="335"/>
              <w:jc w:val="both"/>
              <w:rPr>
                <w:rFonts w:hint="eastAsia" w:ascii="仿宋" w:hAnsi="仿宋" w:eastAsia="仿宋" w:cs="仿宋"/>
                <w:sz w:val="32"/>
                <w:szCs w:val="32"/>
              </w:rPr>
            </w:pPr>
            <w:r>
              <w:rPr>
                <w:rFonts w:hint="eastAsia" w:ascii="仿宋" w:hAnsi="仿宋" w:eastAsia="仿宋" w:cs="仿宋"/>
                <w:sz w:val="32"/>
                <w:szCs w:val="32"/>
              </w:rPr>
              <w:t>7</w:t>
            </w:r>
          </w:p>
        </w:tc>
        <w:tc>
          <w:tcPr>
            <w:tcW w:w="4544" w:type="dxa"/>
            <w:tcBorders>
              <w:top w:val="single" w:color="000000" w:sz="4" w:space="0"/>
              <w:left w:val="single" w:color="000000" w:sz="4" w:space="0"/>
              <w:bottom w:val="single" w:color="000000" w:sz="4" w:space="0"/>
              <w:right w:val="single" w:color="000000" w:sz="4" w:space="0"/>
            </w:tcBorders>
            <w:noWrap/>
          </w:tcPr>
          <w:p>
            <w:pPr>
              <w:pStyle w:val="38"/>
              <w:spacing w:before="145" w:line="218" w:lineRule="auto"/>
              <w:ind w:left="120"/>
              <w:jc w:val="both"/>
              <w:rPr>
                <w:rFonts w:hint="eastAsia" w:ascii="仿宋" w:hAnsi="仿宋" w:eastAsia="仿宋" w:cs="仿宋"/>
                <w:sz w:val="32"/>
                <w:szCs w:val="32"/>
              </w:rPr>
            </w:pPr>
            <w:r>
              <w:rPr>
                <w:rFonts w:hint="eastAsia" w:ascii="仿宋" w:hAnsi="仿宋" w:eastAsia="仿宋" w:cs="仿宋"/>
                <w:spacing w:val="-1"/>
                <w:sz w:val="32"/>
                <w:szCs w:val="32"/>
              </w:rPr>
              <w:t>企业提供的校内实践教学设备值*</w:t>
            </w:r>
          </w:p>
        </w:tc>
        <w:tc>
          <w:tcPr>
            <w:tcW w:w="819" w:type="dxa"/>
            <w:tcBorders>
              <w:top w:val="single" w:color="000000" w:sz="4" w:space="0"/>
              <w:left w:val="single" w:color="000000" w:sz="4" w:space="0"/>
              <w:bottom w:val="single" w:color="000000" w:sz="4" w:space="0"/>
              <w:right w:val="single" w:color="000000" w:sz="4" w:space="0"/>
            </w:tcBorders>
            <w:noWrap/>
          </w:tcPr>
          <w:p>
            <w:pPr>
              <w:pStyle w:val="38"/>
              <w:spacing w:before="148" w:line="221" w:lineRule="auto"/>
              <w:ind w:left="176"/>
              <w:jc w:val="both"/>
              <w:rPr>
                <w:rFonts w:hint="eastAsia" w:ascii="仿宋" w:hAnsi="仿宋" w:eastAsia="仿宋" w:cs="仿宋"/>
                <w:sz w:val="32"/>
                <w:szCs w:val="32"/>
              </w:rPr>
            </w:pPr>
            <w:r>
              <w:rPr>
                <w:rFonts w:hint="eastAsia" w:ascii="仿宋" w:hAnsi="仿宋" w:eastAsia="仿宋" w:cs="仿宋"/>
                <w:spacing w:val="4"/>
                <w:sz w:val="32"/>
                <w:szCs w:val="32"/>
              </w:rPr>
              <w:t>万元</w:t>
            </w:r>
          </w:p>
        </w:tc>
        <w:tc>
          <w:tcPr>
            <w:tcW w:w="115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115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804" w:type="dxa"/>
            <w:tcBorders>
              <w:top w:val="single" w:color="000000" w:sz="4" w:space="0"/>
              <w:left w:val="single" w:color="000000" w:sz="4" w:space="0"/>
              <w:bottom w:val="single" w:color="000000" w:sz="4" w:space="0"/>
              <w:right w:val="single" w:color="000000" w:sz="4" w:space="0"/>
            </w:tcBorders>
            <w:noWrap/>
          </w:tcPr>
          <w:p>
            <w:pPr>
              <w:pStyle w:val="38"/>
              <w:spacing w:before="266" w:line="182" w:lineRule="auto"/>
              <w:ind w:left="335"/>
              <w:jc w:val="both"/>
              <w:rPr>
                <w:rFonts w:hint="eastAsia" w:ascii="仿宋" w:hAnsi="仿宋" w:eastAsia="仿宋" w:cs="仿宋"/>
                <w:sz w:val="32"/>
                <w:szCs w:val="32"/>
              </w:rPr>
            </w:pPr>
            <w:r>
              <w:rPr>
                <w:rFonts w:hint="eastAsia" w:ascii="仿宋" w:hAnsi="仿宋" w:eastAsia="仿宋" w:cs="仿宋"/>
                <w:sz w:val="32"/>
                <w:szCs w:val="32"/>
              </w:rPr>
              <w:t>8</w:t>
            </w:r>
          </w:p>
        </w:tc>
        <w:tc>
          <w:tcPr>
            <w:tcW w:w="4544" w:type="dxa"/>
            <w:tcBorders>
              <w:top w:val="single" w:color="000000" w:sz="4" w:space="0"/>
              <w:left w:val="single" w:color="000000" w:sz="4" w:space="0"/>
              <w:bottom w:val="single" w:color="000000" w:sz="4" w:space="0"/>
              <w:right w:val="single" w:color="000000" w:sz="4" w:space="0"/>
            </w:tcBorders>
            <w:noWrap/>
          </w:tcPr>
          <w:p>
            <w:pPr>
              <w:pStyle w:val="38"/>
              <w:spacing w:before="55" w:line="226" w:lineRule="auto"/>
              <w:ind w:left="120" w:right="257"/>
              <w:jc w:val="both"/>
              <w:rPr>
                <w:rFonts w:hint="eastAsia" w:ascii="仿宋" w:hAnsi="仿宋" w:eastAsia="仿宋" w:cs="仿宋"/>
                <w:sz w:val="32"/>
                <w:szCs w:val="32"/>
              </w:rPr>
            </w:pPr>
            <w:r>
              <w:rPr>
                <w:rFonts w:hint="eastAsia" w:ascii="仿宋" w:hAnsi="仿宋" w:eastAsia="仿宋" w:cs="仿宋"/>
                <w:sz w:val="32"/>
                <w:szCs w:val="32"/>
              </w:rPr>
              <w:t>与企业共建开放型区域产教融合实践中心</w:t>
            </w:r>
            <w:r>
              <w:rPr>
                <w:rFonts w:hint="eastAsia" w:ascii="仿宋" w:hAnsi="仿宋" w:eastAsia="仿宋" w:cs="仿宋"/>
                <w:spacing w:val="14"/>
                <w:sz w:val="32"/>
                <w:szCs w:val="32"/>
              </w:rPr>
              <w:t xml:space="preserve"> </w:t>
            </w:r>
            <w:r>
              <w:rPr>
                <w:rFonts w:hint="eastAsia" w:ascii="仿宋" w:hAnsi="仿宋" w:eastAsia="仿宋" w:cs="仿宋"/>
                <w:spacing w:val="-3"/>
                <w:sz w:val="32"/>
                <w:szCs w:val="32"/>
              </w:rPr>
              <w:t>数量</w:t>
            </w:r>
          </w:p>
        </w:tc>
        <w:tc>
          <w:tcPr>
            <w:tcW w:w="819" w:type="dxa"/>
            <w:tcBorders>
              <w:top w:val="single" w:color="000000" w:sz="4" w:space="0"/>
              <w:left w:val="single" w:color="000000" w:sz="4" w:space="0"/>
              <w:bottom w:val="single" w:color="000000" w:sz="4" w:space="0"/>
              <w:right w:val="single" w:color="000000" w:sz="4" w:space="0"/>
            </w:tcBorders>
            <w:noWrap/>
          </w:tcPr>
          <w:p>
            <w:pPr>
              <w:pStyle w:val="38"/>
              <w:spacing w:before="207" w:line="218" w:lineRule="auto"/>
              <w:ind w:left="286"/>
              <w:jc w:val="both"/>
              <w:rPr>
                <w:rFonts w:hint="eastAsia" w:ascii="仿宋" w:hAnsi="仿宋" w:eastAsia="仿宋" w:cs="仿宋"/>
                <w:sz w:val="32"/>
                <w:szCs w:val="32"/>
              </w:rPr>
            </w:pPr>
            <w:r>
              <w:rPr>
                <w:rFonts w:hint="eastAsia" w:ascii="仿宋" w:hAnsi="仿宋" w:eastAsia="仿宋" w:cs="仿宋"/>
                <w:sz w:val="32"/>
                <w:szCs w:val="32"/>
              </w:rPr>
              <w:t>个</w:t>
            </w:r>
          </w:p>
        </w:tc>
        <w:tc>
          <w:tcPr>
            <w:tcW w:w="115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w:t>
            </w:r>
          </w:p>
        </w:tc>
        <w:tc>
          <w:tcPr>
            <w:tcW w:w="115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804" w:type="dxa"/>
            <w:vMerge w:val="restart"/>
            <w:tcBorders>
              <w:top w:val="single" w:color="000000" w:sz="4" w:space="0"/>
              <w:left w:val="single" w:color="000000" w:sz="4" w:space="0"/>
              <w:bottom w:val="single" w:color="000000" w:sz="4" w:space="0"/>
              <w:right w:val="single" w:color="000000" w:sz="4" w:space="0"/>
            </w:tcBorders>
            <w:noWrap/>
          </w:tcPr>
          <w:p>
            <w:pPr>
              <w:spacing w:line="391" w:lineRule="auto"/>
              <w:jc w:val="both"/>
              <w:rPr>
                <w:rFonts w:hint="eastAsia" w:ascii="仿宋" w:hAnsi="仿宋" w:eastAsia="仿宋" w:cs="仿宋"/>
                <w:sz w:val="32"/>
                <w:szCs w:val="32"/>
              </w:rPr>
            </w:pPr>
          </w:p>
          <w:p>
            <w:pPr>
              <w:pStyle w:val="38"/>
              <w:spacing w:before="75" w:line="182" w:lineRule="auto"/>
              <w:ind w:left="335"/>
              <w:jc w:val="both"/>
              <w:rPr>
                <w:rFonts w:hint="eastAsia" w:ascii="仿宋" w:hAnsi="仿宋" w:eastAsia="仿宋" w:cs="仿宋"/>
                <w:sz w:val="32"/>
                <w:szCs w:val="32"/>
              </w:rPr>
            </w:pPr>
            <w:r>
              <w:rPr>
                <w:rFonts w:hint="eastAsia" w:ascii="仿宋" w:hAnsi="仿宋" w:eastAsia="仿宋" w:cs="仿宋"/>
                <w:sz w:val="32"/>
                <w:szCs w:val="32"/>
              </w:rPr>
              <w:t>9</w:t>
            </w:r>
          </w:p>
        </w:tc>
        <w:tc>
          <w:tcPr>
            <w:tcW w:w="4544" w:type="dxa"/>
            <w:tcBorders>
              <w:top w:val="single" w:color="000000" w:sz="4" w:space="0"/>
              <w:left w:val="single" w:color="000000" w:sz="4" w:space="0"/>
              <w:bottom w:val="single" w:color="000000" w:sz="4" w:space="0"/>
              <w:right w:val="single" w:color="000000" w:sz="4" w:space="0"/>
            </w:tcBorders>
            <w:noWrap/>
          </w:tcPr>
          <w:p>
            <w:pPr>
              <w:pStyle w:val="38"/>
              <w:spacing w:before="148" w:line="218" w:lineRule="auto"/>
              <w:ind w:left="120"/>
              <w:jc w:val="both"/>
              <w:rPr>
                <w:rFonts w:hint="eastAsia" w:ascii="仿宋" w:hAnsi="仿宋" w:eastAsia="仿宋" w:cs="仿宋"/>
                <w:sz w:val="32"/>
                <w:szCs w:val="32"/>
              </w:rPr>
            </w:pPr>
            <w:r>
              <w:rPr>
                <w:rFonts w:hint="eastAsia" w:ascii="仿宋" w:hAnsi="仿宋" w:eastAsia="仿宋" w:cs="仿宋"/>
                <w:spacing w:val="-1"/>
                <w:sz w:val="32"/>
                <w:szCs w:val="32"/>
              </w:rPr>
              <w:t>聘请行业导师人数*</w:t>
            </w:r>
          </w:p>
        </w:tc>
        <w:tc>
          <w:tcPr>
            <w:tcW w:w="819" w:type="dxa"/>
            <w:tcBorders>
              <w:top w:val="single" w:color="000000" w:sz="4" w:space="0"/>
              <w:left w:val="single" w:color="000000" w:sz="4" w:space="0"/>
              <w:bottom w:val="single" w:color="000000" w:sz="4" w:space="0"/>
              <w:right w:val="single" w:color="000000" w:sz="4" w:space="0"/>
            </w:tcBorders>
            <w:noWrap/>
          </w:tcPr>
          <w:p>
            <w:pPr>
              <w:pStyle w:val="38"/>
              <w:spacing w:before="152" w:line="223" w:lineRule="auto"/>
              <w:ind w:left="286"/>
              <w:jc w:val="both"/>
              <w:rPr>
                <w:rFonts w:hint="eastAsia" w:ascii="仿宋" w:hAnsi="仿宋" w:eastAsia="仿宋" w:cs="仿宋"/>
                <w:sz w:val="32"/>
                <w:szCs w:val="32"/>
              </w:rPr>
            </w:pPr>
            <w:r>
              <w:rPr>
                <w:rFonts w:hint="eastAsia" w:ascii="仿宋" w:hAnsi="仿宋" w:eastAsia="仿宋" w:cs="仿宋"/>
                <w:sz w:val="32"/>
                <w:szCs w:val="32"/>
              </w:rPr>
              <w:t>人</w:t>
            </w:r>
          </w:p>
        </w:tc>
        <w:tc>
          <w:tcPr>
            <w:tcW w:w="115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10</w:t>
            </w:r>
          </w:p>
        </w:tc>
        <w:tc>
          <w:tcPr>
            <w:tcW w:w="115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804" w:type="dxa"/>
            <w:vMerge w:val="continue"/>
            <w:tcBorders>
              <w:top w:val="single" w:color="000000" w:sz="4" w:space="0"/>
              <w:left w:val="single" w:color="000000" w:sz="4" w:space="0"/>
              <w:bottom w:val="single" w:color="000000" w:sz="4" w:space="0"/>
              <w:right w:val="single" w:color="000000" w:sz="4" w:space="0"/>
            </w:tcBorders>
            <w:noWrap/>
          </w:tcPr>
          <w:p>
            <w:pPr>
              <w:rPr>
                <w:rFonts w:hint="eastAsia" w:ascii="仿宋" w:hAnsi="仿宋" w:eastAsia="仿宋" w:cs="仿宋"/>
                <w:sz w:val="32"/>
                <w:szCs w:val="32"/>
              </w:rPr>
            </w:pPr>
          </w:p>
        </w:tc>
        <w:tc>
          <w:tcPr>
            <w:tcW w:w="4544" w:type="dxa"/>
            <w:tcBorders>
              <w:top w:val="single" w:color="000000" w:sz="4" w:space="0"/>
              <w:left w:val="single" w:color="000000" w:sz="4" w:space="0"/>
              <w:bottom w:val="single" w:color="000000" w:sz="4" w:space="0"/>
              <w:right w:val="single" w:color="000000" w:sz="4" w:space="0"/>
            </w:tcBorders>
            <w:noWrap/>
          </w:tcPr>
          <w:p>
            <w:pPr>
              <w:pStyle w:val="38"/>
              <w:spacing w:before="149" w:line="218" w:lineRule="auto"/>
              <w:ind w:left="120"/>
              <w:jc w:val="both"/>
              <w:rPr>
                <w:rFonts w:hint="eastAsia" w:ascii="仿宋" w:hAnsi="仿宋" w:eastAsia="仿宋" w:cs="仿宋"/>
                <w:sz w:val="32"/>
                <w:szCs w:val="32"/>
              </w:rPr>
            </w:pPr>
            <w:r>
              <w:rPr>
                <w:rFonts w:hint="eastAsia" w:ascii="仿宋" w:hAnsi="仿宋" w:eastAsia="仿宋" w:cs="仿宋"/>
                <w:spacing w:val="-1"/>
                <w:sz w:val="32"/>
                <w:szCs w:val="32"/>
              </w:rPr>
              <w:t>其中：聘请大国工匠、劳动模范人数</w:t>
            </w:r>
          </w:p>
        </w:tc>
        <w:tc>
          <w:tcPr>
            <w:tcW w:w="819" w:type="dxa"/>
            <w:tcBorders>
              <w:top w:val="single" w:color="000000" w:sz="4" w:space="0"/>
              <w:left w:val="single" w:color="000000" w:sz="4" w:space="0"/>
              <w:bottom w:val="single" w:color="000000" w:sz="4" w:space="0"/>
              <w:right w:val="single" w:color="000000" w:sz="4" w:space="0"/>
            </w:tcBorders>
            <w:noWrap/>
          </w:tcPr>
          <w:p>
            <w:pPr>
              <w:pStyle w:val="38"/>
              <w:spacing w:before="153" w:line="223" w:lineRule="auto"/>
              <w:ind w:left="286"/>
              <w:jc w:val="both"/>
              <w:rPr>
                <w:rFonts w:hint="eastAsia" w:ascii="仿宋" w:hAnsi="仿宋" w:eastAsia="仿宋" w:cs="仿宋"/>
                <w:sz w:val="32"/>
                <w:szCs w:val="32"/>
              </w:rPr>
            </w:pPr>
            <w:r>
              <w:rPr>
                <w:rFonts w:hint="eastAsia" w:ascii="仿宋" w:hAnsi="仿宋" w:eastAsia="仿宋" w:cs="仿宋"/>
                <w:sz w:val="32"/>
                <w:szCs w:val="32"/>
              </w:rPr>
              <w:t>人</w:t>
            </w:r>
          </w:p>
        </w:tc>
        <w:tc>
          <w:tcPr>
            <w:tcW w:w="115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115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804" w:type="dxa"/>
            <w:vMerge w:val="continue"/>
            <w:tcBorders>
              <w:top w:val="single" w:color="000000" w:sz="4" w:space="0"/>
              <w:left w:val="single" w:color="000000" w:sz="4" w:space="0"/>
              <w:bottom w:val="single" w:color="000000" w:sz="4" w:space="0"/>
              <w:right w:val="single" w:color="000000" w:sz="4" w:space="0"/>
            </w:tcBorders>
            <w:noWrap/>
          </w:tcPr>
          <w:p>
            <w:pPr>
              <w:rPr>
                <w:rFonts w:hint="eastAsia" w:ascii="仿宋" w:hAnsi="仿宋" w:eastAsia="仿宋" w:cs="仿宋"/>
                <w:sz w:val="32"/>
                <w:szCs w:val="32"/>
              </w:rPr>
            </w:pPr>
          </w:p>
        </w:tc>
        <w:tc>
          <w:tcPr>
            <w:tcW w:w="4544" w:type="dxa"/>
            <w:tcBorders>
              <w:top w:val="single" w:color="000000" w:sz="4" w:space="0"/>
              <w:left w:val="single" w:color="000000" w:sz="4" w:space="0"/>
              <w:bottom w:val="single" w:color="000000" w:sz="4" w:space="0"/>
              <w:right w:val="single" w:color="000000" w:sz="4" w:space="0"/>
            </w:tcBorders>
            <w:noWrap/>
          </w:tcPr>
          <w:p>
            <w:pPr>
              <w:pStyle w:val="38"/>
              <w:spacing w:before="132" w:line="218" w:lineRule="auto"/>
              <w:ind w:left="110"/>
              <w:jc w:val="both"/>
              <w:rPr>
                <w:rFonts w:hint="eastAsia" w:ascii="仿宋" w:hAnsi="仿宋" w:eastAsia="仿宋" w:cs="仿宋"/>
                <w:sz w:val="32"/>
                <w:szCs w:val="32"/>
              </w:rPr>
            </w:pPr>
            <w:r>
              <w:rPr>
                <w:rFonts w:hint="eastAsia" w:ascii="仿宋" w:hAnsi="仿宋" w:eastAsia="仿宋" w:cs="仿宋"/>
                <w:spacing w:val="-2"/>
                <w:sz w:val="32"/>
                <w:szCs w:val="32"/>
              </w:rPr>
              <w:t>行业导师年课时总量*</w:t>
            </w:r>
          </w:p>
        </w:tc>
        <w:tc>
          <w:tcPr>
            <w:tcW w:w="819" w:type="dxa"/>
            <w:tcBorders>
              <w:top w:val="single" w:color="000000" w:sz="4" w:space="0"/>
              <w:left w:val="single" w:color="000000" w:sz="4" w:space="0"/>
              <w:bottom w:val="single" w:color="000000" w:sz="4" w:space="0"/>
              <w:right w:val="single" w:color="000000" w:sz="4" w:space="0"/>
            </w:tcBorders>
            <w:noWrap/>
          </w:tcPr>
          <w:p>
            <w:pPr>
              <w:pStyle w:val="38"/>
              <w:spacing w:before="133" w:line="221" w:lineRule="auto"/>
              <w:ind w:left="156"/>
              <w:jc w:val="both"/>
              <w:rPr>
                <w:rFonts w:hint="eastAsia" w:ascii="仿宋" w:hAnsi="仿宋" w:eastAsia="仿宋" w:cs="仿宋"/>
                <w:sz w:val="32"/>
                <w:szCs w:val="32"/>
              </w:rPr>
            </w:pPr>
            <w:r>
              <w:rPr>
                <w:rFonts w:hint="eastAsia" w:ascii="仿宋" w:hAnsi="仿宋" w:eastAsia="仿宋" w:cs="仿宋"/>
                <w:spacing w:val="7"/>
                <w:sz w:val="32"/>
                <w:szCs w:val="32"/>
              </w:rPr>
              <w:t>课时</w:t>
            </w:r>
          </w:p>
        </w:tc>
        <w:tc>
          <w:tcPr>
            <w:tcW w:w="115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940</w:t>
            </w:r>
          </w:p>
        </w:tc>
        <w:tc>
          <w:tcPr>
            <w:tcW w:w="115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1020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804" w:type="dxa"/>
            <w:vMerge w:val="continue"/>
            <w:tcBorders>
              <w:top w:val="single" w:color="000000" w:sz="4" w:space="0"/>
              <w:left w:val="single" w:color="000000" w:sz="4" w:space="0"/>
              <w:bottom w:val="single" w:color="000000" w:sz="4" w:space="0"/>
              <w:right w:val="single" w:color="000000" w:sz="4" w:space="0"/>
            </w:tcBorders>
            <w:noWrap/>
          </w:tcPr>
          <w:p>
            <w:pPr>
              <w:rPr>
                <w:rFonts w:hint="eastAsia" w:ascii="仿宋" w:hAnsi="仿宋" w:eastAsia="仿宋" w:cs="仿宋"/>
                <w:sz w:val="32"/>
                <w:szCs w:val="32"/>
              </w:rPr>
            </w:pPr>
          </w:p>
        </w:tc>
        <w:tc>
          <w:tcPr>
            <w:tcW w:w="4544" w:type="dxa"/>
            <w:tcBorders>
              <w:top w:val="single" w:color="000000" w:sz="4" w:space="0"/>
              <w:left w:val="single" w:color="000000" w:sz="4" w:space="0"/>
              <w:bottom w:val="single" w:color="000000" w:sz="4" w:space="0"/>
              <w:right w:val="single" w:color="000000" w:sz="4" w:space="0"/>
            </w:tcBorders>
            <w:noWrap/>
          </w:tcPr>
          <w:p>
            <w:pPr>
              <w:pStyle w:val="38"/>
              <w:spacing w:before="134" w:line="218" w:lineRule="auto"/>
              <w:ind w:left="110"/>
              <w:jc w:val="both"/>
              <w:rPr>
                <w:rFonts w:hint="eastAsia" w:ascii="仿宋" w:hAnsi="仿宋" w:eastAsia="仿宋" w:cs="仿宋"/>
                <w:sz w:val="32"/>
                <w:szCs w:val="32"/>
              </w:rPr>
            </w:pPr>
            <w:r>
              <w:rPr>
                <w:rFonts w:hint="eastAsia" w:ascii="仿宋" w:hAnsi="仿宋" w:eastAsia="仿宋" w:cs="仿宋"/>
                <w:spacing w:val="1"/>
                <w:sz w:val="32"/>
                <w:szCs w:val="32"/>
              </w:rPr>
              <w:t>年支付行业导师课酬</w:t>
            </w:r>
          </w:p>
        </w:tc>
        <w:tc>
          <w:tcPr>
            <w:tcW w:w="819" w:type="dxa"/>
            <w:tcBorders>
              <w:top w:val="single" w:color="000000" w:sz="4" w:space="0"/>
              <w:left w:val="single" w:color="000000" w:sz="4" w:space="0"/>
              <w:bottom w:val="single" w:color="000000" w:sz="4" w:space="0"/>
              <w:right w:val="single" w:color="000000" w:sz="4" w:space="0"/>
            </w:tcBorders>
            <w:noWrap/>
          </w:tcPr>
          <w:p>
            <w:pPr>
              <w:pStyle w:val="38"/>
              <w:spacing w:before="135" w:line="221" w:lineRule="auto"/>
              <w:ind w:left="156"/>
              <w:jc w:val="both"/>
              <w:rPr>
                <w:rFonts w:hint="eastAsia" w:ascii="仿宋" w:hAnsi="仿宋" w:eastAsia="仿宋" w:cs="仿宋"/>
                <w:sz w:val="32"/>
                <w:szCs w:val="32"/>
              </w:rPr>
            </w:pPr>
            <w:r>
              <w:rPr>
                <w:rFonts w:hint="eastAsia" w:ascii="仿宋" w:hAnsi="仿宋" w:eastAsia="仿宋" w:cs="仿宋"/>
                <w:spacing w:val="5"/>
                <w:sz w:val="32"/>
                <w:szCs w:val="32"/>
              </w:rPr>
              <w:t>万元</w:t>
            </w:r>
          </w:p>
        </w:tc>
        <w:tc>
          <w:tcPr>
            <w:tcW w:w="115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c>
          <w:tcPr>
            <w:tcW w:w="115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804" w:type="dxa"/>
            <w:vMerge w:val="restart"/>
            <w:tcBorders>
              <w:top w:val="single" w:color="000000" w:sz="4" w:space="0"/>
              <w:left w:val="single" w:color="000000" w:sz="4" w:space="0"/>
              <w:bottom w:val="nil"/>
              <w:right w:val="single" w:color="000000" w:sz="4" w:space="0"/>
            </w:tcBorders>
            <w:noWrap/>
          </w:tcPr>
          <w:p>
            <w:pPr>
              <w:spacing w:line="384" w:lineRule="auto"/>
              <w:jc w:val="both"/>
              <w:rPr>
                <w:rFonts w:hint="eastAsia" w:ascii="仿宋" w:hAnsi="仿宋" w:eastAsia="仿宋" w:cs="仿宋"/>
                <w:sz w:val="32"/>
                <w:szCs w:val="32"/>
              </w:rPr>
            </w:pPr>
          </w:p>
          <w:p>
            <w:pPr>
              <w:pStyle w:val="38"/>
              <w:spacing w:before="82" w:line="185" w:lineRule="auto"/>
              <w:ind w:left="275"/>
              <w:jc w:val="both"/>
              <w:rPr>
                <w:rFonts w:hint="eastAsia" w:ascii="仿宋" w:hAnsi="仿宋" w:eastAsia="仿宋" w:cs="仿宋"/>
                <w:sz w:val="32"/>
                <w:szCs w:val="32"/>
              </w:rPr>
            </w:pPr>
            <w:r>
              <w:rPr>
                <w:rFonts w:hint="eastAsia" w:ascii="仿宋" w:hAnsi="仿宋" w:eastAsia="仿宋" w:cs="仿宋"/>
                <w:spacing w:val="-8"/>
                <w:sz w:val="32"/>
                <w:szCs w:val="32"/>
              </w:rPr>
              <w:t>10</w:t>
            </w:r>
          </w:p>
        </w:tc>
        <w:tc>
          <w:tcPr>
            <w:tcW w:w="4544" w:type="dxa"/>
            <w:tcBorders>
              <w:top w:val="single" w:color="000000" w:sz="4" w:space="0"/>
              <w:left w:val="single" w:color="000000" w:sz="4" w:space="0"/>
              <w:bottom w:val="single" w:color="000000" w:sz="4" w:space="0"/>
              <w:right w:val="single" w:color="000000" w:sz="4" w:space="0"/>
            </w:tcBorders>
            <w:noWrap/>
          </w:tcPr>
          <w:p>
            <w:pPr>
              <w:pStyle w:val="38"/>
              <w:spacing w:before="146" w:line="218" w:lineRule="auto"/>
              <w:ind w:left="110"/>
              <w:jc w:val="both"/>
              <w:rPr>
                <w:rFonts w:hint="eastAsia" w:ascii="仿宋" w:hAnsi="仿宋" w:eastAsia="仿宋" w:cs="仿宋"/>
                <w:sz w:val="32"/>
                <w:szCs w:val="32"/>
              </w:rPr>
            </w:pPr>
            <w:r>
              <w:rPr>
                <w:rFonts w:hint="eastAsia" w:ascii="仿宋" w:hAnsi="仿宋" w:eastAsia="仿宋" w:cs="仿宋"/>
                <w:spacing w:val="2"/>
                <w:sz w:val="32"/>
                <w:szCs w:val="32"/>
              </w:rPr>
              <w:t>年实习专项经费</w:t>
            </w:r>
          </w:p>
        </w:tc>
        <w:tc>
          <w:tcPr>
            <w:tcW w:w="819" w:type="dxa"/>
            <w:tcBorders>
              <w:top w:val="single" w:color="000000" w:sz="4" w:space="0"/>
              <w:left w:val="single" w:color="000000" w:sz="4" w:space="0"/>
              <w:bottom w:val="single" w:color="000000" w:sz="4" w:space="0"/>
              <w:right w:val="single" w:color="000000" w:sz="4" w:space="0"/>
            </w:tcBorders>
            <w:noWrap/>
          </w:tcPr>
          <w:p>
            <w:pPr>
              <w:pStyle w:val="38"/>
              <w:spacing w:before="147" w:line="221" w:lineRule="auto"/>
              <w:ind w:left="156"/>
              <w:jc w:val="both"/>
              <w:rPr>
                <w:rFonts w:hint="eastAsia" w:ascii="仿宋" w:hAnsi="仿宋" w:eastAsia="仿宋" w:cs="仿宋"/>
                <w:sz w:val="32"/>
                <w:szCs w:val="32"/>
              </w:rPr>
            </w:pPr>
            <w:r>
              <w:rPr>
                <w:rFonts w:hint="eastAsia" w:ascii="仿宋" w:hAnsi="仿宋" w:eastAsia="仿宋" w:cs="仿宋"/>
                <w:spacing w:val="5"/>
                <w:sz w:val="32"/>
                <w:szCs w:val="32"/>
              </w:rPr>
              <w:t>万元</w:t>
            </w:r>
          </w:p>
        </w:tc>
        <w:tc>
          <w:tcPr>
            <w:tcW w:w="115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0.8</w:t>
            </w:r>
          </w:p>
        </w:tc>
        <w:tc>
          <w:tcPr>
            <w:tcW w:w="115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804" w:type="dxa"/>
            <w:vMerge w:val="continue"/>
            <w:tcBorders>
              <w:top w:val="nil"/>
              <w:left w:val="single" w:color="000000" w:sz="4" w:space="0"/>
              <w:bottom w:val="single" w:color="000000" w:sz="4" w:space="0"/>
              <w:right w:val="single" w:color="000000" w:sz="4" w:space="0"/>
            </w:tcBorders>
            <w:noWrap/>
          </w:tcPr>
          <w:p>
            <w:pPr>
              <w:rPr>
                <w:rFonts w:hint="eastAsia" w:ascii="仿宋" w:hAnsi="仿宋" w:eastAsia="仿宋" w:cs="仿宋"/>
                <w:sz w:val="32"/>
                <w:szCs w:val="32"/>
              </w:rPr>
            </w:pPr>
          </w:p>
        </w:tc>
        <w:tc>
          <w:tcPr>
            <w:tcW w:w="4544" w:type="dxa"/>
            <w:tcBorders>
              <w:top w:val="single" w:color="000000" w:sz="4" w:space="0"/>
              <w:left w:val="single" w:color="000000" w:sz="4" w:space="0"/>
              <w:bottom w:val="single" w:color="000000" w:sz="4" w:space="0"/>
              <w:right w:val="single" w:color="000000" w:sz="4" w:space="0"/>
            </w:tcBorders>
            <w:noWrap/>
          </w:tcPr>
          <w:p>
            <w:pPr>
              <w:pStyle w:val="38"/>
              <w:spacing w:before="138" w:line="218" w:lineRule="auto"/>
              <w:ind w:left="110"/>
              <w:jc w:val="both"/>
              <w:rPr>
                <w:rFonts w:hint="eastAsia" w:ascii="仿宋" w:hAnsi="仿宋" w:eastAsia="仿宋" w:cs="仿宋"/>
                <w:sz w:val="32"/>
                <w:szCs w:val="32"/>
              </w:rPr>
            </w:pPr>
            <w:r>
              <w:rPr>
                <w:rFonts w:hint="eastAsia" w:ascii="仿宋" w:hAnsi="仿宋" w:eastAsia="仿宋" w:cs="仿宋"/>
                <w:spacing w:val="1"/>
                <w:sz w:val="32"/>
                <w:szCs w:val="32"/>
              </w:rPr>
              <w:t>其中：年实习责任保险经费</w:t>
            </w:r>
          </w:p>
        </w:tc>
        <w:tc>
          <w:tcPr>
            <w:tcW w:w="819" w:type="dxa"/>
            <w:tcBorders>
              <w:top w:val="single" w:color="000000" w:sz="4" w:space="0"/>
              <w:left w:val="single" w:color="000000" w:sz="4" w:space="0"/>
              <w:bottom w:val="single" w:color="000000" w:sz="4" w:space="0"/>
              <w:right w:val="single" w:color="000000" w:sz="4" w:space="0"/>
            </w:tcBorders>
            <w:noWrap/>
          </w:tcPr>
          <w:p>
            <w:pPr>
              <w:pStyle w:val="38"/>
              <w:spacing w:before="139" w:line="221" w:lineRule="auto"/>
              <w:ind w:left="156"/>
              <w:jc w:val="both"/>
              <w:rPr>
                <w:rFonts w:hint="eastAsia" w:ascii="仿宋" w:hAnsi="仿宋" w:eastAsia="仿宋" w:cs="仿宋"/>
                <w:sz w:val="32"/>
                <w:szCs w:val="32"/>
              </w:rPr>
            </w:pPr>
            <w:r>
              <w:rPr>
                <w:rFonts w:hint="eastAsia" w:ascii="仿宋" w:hAnsi="仿宋" w:eastAsia="仿宋" w:cs="仿宋"/>
                <w:spacing w:val="5"/>
                <w:sz w:val="32"/>
                <w:szCs w:val="32"/>
              </w:rPr>
              <w:t>万元</w:t>
            </w:r>
          </w:p>
        </w:tc>
        <w:tc>
          <w:tcPr>
            <w:tcW w:w="1159"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0.8</w:t>
            </w:r>
          </w:p>
        </w:tc>
        <w:tc>
          <w:tcPr>
            <w:tcW w:w="1153" w:type="dxa"/>
            <w:tcBorders>
              <w:top w:val="single" w:color="000000" w:sz="4" w:space="0"/>
              <w:left w:val="single" w:color="000000" w:sz="4" w:space="0"/>
              <w:bottom w:val="single" w:color="000000" w:sz="4" w:space="0"/>
              <w:right w:val="single" w:color="000000" w:sz="4" w:space="0"/>
            </w:tcBorders>
            <w:noWrap/>
          </w:tcPr>
          <w:p>
            <w:pPr>
              <w:jc w:val="both"/>
              <w:rPr>
                <w:rFonts w:hint="default" w:ascii="仿宋" w:hAnsi="仿宋" w:eastAsia="仿宋" w:cs="仿宋"/>
                <w:sz w:val="32"/>
                <w:szCs w:val="32"/>
                <w:lang w:val="en-US"/>
              </w:rPr>
            </w:pPr>
            <w:r>
              <w:rPr>
                <w:rFonts w:hint="default" w:hAnsi="仿宋" w:cs="仿宋"/>
                <w:sz w:val="32"/>
                <w:szCs w:val="32"/>
                <w:lang w:val="en-US"/>
              </w:rPr>
              <w:t>0.8</w:t>
            </w:r>
          </w:p>
        </w:tc>
      </w:tr>
    </w:tbl>
    <w:p>
      <w:pPr>
        <w:rPr>
          <w:rFonts w:hint="eastAsia"/>
          <w:lang w:val="en-US" w:eastAsia="zh-CN"/>
        </w:rPr>
        <w:sectPr>
          <w:footerReference r:id="rId14" w:type="first"/>
          <w:footerReference r:id="rId13" w:type="default"/>
          <w:pgSz w:w="11906" w:h="16838"/>
          <w:pgMar w:top="1440" w:right="1587" w:bottom="1440" w:left="1587" w:header="851" w:footer="992" w:gutter="0"/>
          <w:pgBorders>
            <w:top w:val="none" w:sz="0" w:space="0"/>
            <w:left w:val="none" w:sz="0" w:space="0"/>
            <w:bottom w:val="none" w:sz="0" w:space="0"/>
            <w:right w:val="none" w:sz="0" w:space="0"/>
          </w:pgBorders>
          <w:pgNumType w:fmt="decimal" w:start="1"/>
          <w:cols w:space="0" w:num="1"/>
          <w:titlePg/>
          <w:rtlGutter w:val="0"/>
          <w:docGrid w:type="lines" w:linePitch="312" w:charSpace="0"/>
        </w:sectPr>
      </w:pPr>
    </w:p>
    <w:p>
      <w:pPr>
        <w:shd w:val="clear" w:fill="FFFFFF" w:themeFill="background1"/>
        <w:spacing w:line="240" w:lineRule="auto"/>
        <w:rPr>
          <w:rFonts w:hint="default" w:ascii="仿宋" w:hAnsi="仿宋" w:eastAsia="仿宋"/>
          <w:sz w:val="32"/>
          <w:szCs w:val="32"/>
          <w:lang w:val="en-US" w:eastAsia="zh-CN"/>
        </w:rPr>
      </w:pPr>
      <w:r>
        <w:rPr>
          <w:rFonts w:hint="eastAsia" w:ascii="仿宋" w:hAnsi="仿宋" w:eastAsia="仿宋"/>
          <w:sz w:val="32"/>
          <w:szCs w:val="32"/>
          <w:lang w:val="en-US" w:eastAsia="zh-CN"/>
        </w:rPr>
        <w:drawing>
          <wp:anchor distT="0" distB="0" distL="114300" distR="114300" simplePos="0" relativeHeight="251667456" behindDoc="1" locked="0" layoutInCell="1" allowOverlap="1">
            <wp:simplePos x="0" y="0"/>
            <wp:positionH relativeFrom="column">
              <wp:posOffset>-7620</wp:posOffset>
            </wp:positionH>
            <wp:positionV relativeFrom="paragraph">
              <wp:posOffset>-787400</wp:posOffset>
            </wp:positionV>
            <wp:extent cx="7642225" cy="10679430"/>
            <wp:effectExtent l="0" t="0" r="8255" b="3810"/>
            <wp:wrapNone/>
            <wp:docPr id="40" name="图片 40"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封面"/>
                    <pic:cNvPicPr>
                      <a:picLocks noChangeAspect="1"/>
                    </pic:cNvPicPr>
                  </pic:nvPicPr>
                  <pic:blipFill>
                    <a:blip r:embed="rId17"/>
                    <a:stretch>
                      <a:fillRect/>
                    </a:stretch>
                  </pic:blipFill>
                  <pic:spPr>
                    <a:xfrm>
                      <a:off x="0" y="0"/>
                      <a:ext cx="7642225" cy="10679430"/>
                    </a:xfrm>
                    <a:prstGeom prst="rect">
                      <a:avLst/>
                    </a:prstGeom>
                  </pic:spPr>
                </pic:pic>
              </a:graphicData>
            </a:graphic>
          </wp:anchor>
        </w:drawing>
      </w:r>
      <w:r>
        <w:rPr>
          <w:rFonts w:hint="default" w:ascii="仿宋" w:hAnsi="仿宋" w:eastAsia="仿宋"/>
          <w:sz w:val="32"/>
          <w:szCs w:val="32"/>
          <w:lang w:val="en-US" w:eastAsia="zh-CN"/>
        </w:rPr>
        <w:t xml:space="preserve">       </w:t>
      </w:r>
    </w:p>
    <w:p>
      <w:pPr>
        <w:shd w:val="clear" w:fill="FFFFFF" w:themeFill="background1"/>
        <w:spacing w:line="240" w:lineRule="auto"/>
        <w:rPr>
          <w:rFonts w:hint="default" w:ascii="仿宋" w:hAnsi="仿宋" w:eastAsia="仿宋"/>
          <w:sz w:val="32"/>
          <w:szCs w:val="32"/>
          <w:lang w:val="en-US" w:eastAsia="zh-CN"/>
        </w:rPr>
      </w:pPr>
      <w:r>
        <w:rPr>
          <w:sz w:val="32"/>
        </w:rPr>
        <mc:AlternateContent>
          <mc:Choice Requires="wps">
            <w:drawing>
              <wp:anchor distT="0" distB="0" distL="114300" distR="114300" simplePos="0" relativeHeight="251666432" behindDoc="0" locked="0" layoutInCell="1" allowOverlap="1">
                <wp:simplePos x="0" y="0"/>
                <wp:positionH relativeFrom="column">
                  <wp:posOffset>2252345</wp:posOffset>
                </wp:positionH>
                <wp:positionV relativeFrom="paragraph">
                  <wp:posOffset>7177405</wp:posOffset>
                </wp:positionV>
                <wp:extent cx="3295650" cy="619125"/>
                <wp:effectExtent l="0" t="0" r="0" b="0"/>
                <wp:wrapNone/>
                <wp:docPr id="42" name="文本框 42"/>
                <wp:cNvGraphicFramePr/>
                <a:graphic xmlns:a="http://schemas.openxmlformats.org/drawingml/2006/main">
                  <a:graphicData uri="http://schemas.microsoft.com/office/word/2010/wordprocessingShape">
                    <wps:wsp>
                      <wps:cNvSpPr txBox="1"/>
                      <wps:spPr>
                        <a:xfrm>
                          <a:off x="1576070" y="6080760"/>
                          <a:ext cx="3295650" cy="619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涿鹿县职业技术教育中心</w:t>
                            </w:r>
                            <w:r>
                              <w:rPr>
                                <w:rFonts w:hint="default"/>
                                <w:sz w:val="24"/>
                                <w:szCs w:val="24"/>
                                <w:lang w:val="en-US" w:eastAsia="zh-CN"/>
                              </w:rPr>
                              <w:t xml:space="preserve">  </w:t>
                            </w:r>
                            <w:r>
                              <w:rPr>
                                <w:rFonts w:hint="eastAsia"/>
                                <w:sz w:val="24"/>
                                <w:szCs w:val="24"/>
                                <w:lang w:val="en-US" w:eastAsia="zh-CN"/>
                              </w:rPr>
                              <w:t>编制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35pt;margin-top:565.15pt;height:48.75pt;width:259.5pt;z-index:251666432;mso-width-relative:page;mso-height-relative:page;" filled="f" stroked="f" coordsize="21600,21600" o:gfxdata="UEsDBAoAAAAAAIdO4kAAAAAAAAAAAAAAAAAEAAAAZHJzL1BLAwQUAAAACACHTuJAporm3NwAAAAN&#10;AQAADwAAAGRycy9kb3ducmV2LnhtbE2PzU7DMBCE70i8g7VI3KidhJIoxKlQpAoJwaGlF25O7CYR&#10;9jrE7g88PcupHHfm0+xMtTo7y45mDqNHCclCADPYeT1iL2H3vr4rgIWoUCvr0Uj4NgFW9fVVpUrt&#10;T7gxx23sGYVgKJWEIcap5Dx0g3EqLPxkkLy9n52KdM4917M6UbizPBXigTs1In0Y1GSawXSf24OT&#10;8NKs39SmTV3xY5vn1/3T9LX7WEp5e5OIR2DRnOMFhr/6VB1q6tT6A+rArIRseZ8TSkaSiQwYIUWe&#10;kdSSlKZ5Abyu+P8V9S9QSwMEFAAAAAgAh07iQCuNpbNFAgAAdAQAAA4AAABkcnMvZTJvRG9jLnht&#10;bK1UQW7bMBC8F+gfCN4byY7tJEbkwE2QokDQBHCLnmmKigSQXJakI6UPaH+QUy+99115R4eSnaRp&#10;Dzn0Qi25g1nO7FLHJ53R7Eb50JAt+Ggv50xZSWVjrwv+6eP5m0POQhS2FJqsKvitCvxk8frVcevm&#10;akw16VJ5BhIb5q0reB2jm2dZkLUyIuyRUxbJirwREVt/nZVetGA3Ohvn+SxryZfOk1Qh4PRsSPIt&#10;o38JIVVVI9UZyY1RNg6sXmkRISnUjQt80d+2qpSMl1UVVGS64FAa+xVFEK/Tmi2OxfzaC1c3cnsF&#10;8ZIrPNNkRGNR9IHqTETBNr75i8o00lOgKu5JMtkgpHcEKkb5M29WtXCq1wKrg3swPfw/Wvnh5sqz&#10;piz4ZMyZFQYdv7/7fv/j1/3PbwxnMKh1YQ7cygEZu7fUYWx25wGHSXdXeZO+UMRSfnowyw9g8m3B&#10;Z/lhjt1gteoikwDsj4+msykAMiFGR6PxNAGyRybnQ3ynyLAUFNyjlb3D4uYixAG6g6TCls4brft2&#10;astakO6D/o8MyLVFjaRnuHeKYrfutiLXVN5Co6dhTIKT5w2KX4gQr4THXOC+eDnxEkulCUVoG3FW&#10;k//6r/OER7uQ5azFnBU8fNkIrzjT7y0aeTSaTEAb+81kejDGxj/NrJ9m7MacEkZ5hDfqZB8mfNS7&#10;sPJkPuOBLVNVpISVqF3wuAtP4zD9eKBSLZc9CKPoRLywKycT9WDachOpanqnk02DN1v3MIx9r7YP&#10;J037032PevxZL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porm3NwAAAANAQAADwAAAAAAAAAB&#10;ACAAAAAiAAAAZHJzL2Rvd25yZXYueG1sUEsBAhQAFAAAAAgAh07iQCuNpbNFAgAAdAQAAA4AAAAA&#10;AAAAAQAgAAAAKwEAAGRycy9lMm9Eb2MueG1sUEsFBgAAAAAGAAYAWQEAAOIFAAAAAA==&#10;">
                <v:fill on="f" focussize="0,0"/>
                <v:stroke on="f" weight="0.5pt"/>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涿鹿县职业技术教育中心</w:t>
                      </w:r>
                      <w:r>
                        <w:rPr>
                          <w:rFonts w:hint="default"/>
                          <w:sz w:val="24"/>
                          <w:szCs w:val="24"/>
                          <w:lang w:val="en-US" w:eastAsia="zh-CN"/>
                        </w:rPr>
                        <w:t xml:space="preserve">  </w:t>
                      </w:r>
                      <w:r>
                        <w:rPr>
                          <w:rFonts w:hint="eastAsia"/>
                          <w:sz w:val="24"/>
                          <w:szCs w:val="24"/>
                          <w:lang w:val="en-US" w:eastAsia="zh-CN"/>
                        </w:rPr>
                        <w:t>编制</w:t>
                      </w:r>
                    </w:p>
                  </w:txbxContent>
                </v:textbox>
              </v:shape>
            </w:pict>
          </mc:Fallback>
        </mc:AlternateContent>
      </w:r>
      <w:r>
        <w:rPr>
          <w:rFonts w:hint="default" w:ascii="仿宋" w:hAnsi="仿宋" w:eastAsia="仿宋"/>
          <w:sz w:val="32"/>
          <w:szCs w:val="32"/>
          <w:lang w:val="en-US" w:eastAsia="zh-CN"/>
        </w:rPr>
        <w:t xml:space="preserve">    </w:t>
      </w:r>
    </w:p>
    <w:p>
      <w:pPr>
        <w:shd w:val="clear" w:fill="FFFFFF" w:themeFill="background1"/>
        <w:spacing w:line="240" w:lineRule="auto"/>
        <w:jc w:val="center"/>
        <w:rPr>
          <w:rFonts w:hint="default" w:ascii="仿宋" w:hAnsi="仿宋" w:eastAsia="仿宋"/>
          <w:sz w:val="32"/>
          <w:szCs w:val="32"/>
          <w:lang w:val="en-US" w:eastAsia="zh-CN"/>
        </w:rPr>
      </w:pPr>
      <w:r>
        <w:drawing>
          <wp:inline distT="0" distB="0" distL="114300" distR="114300">
            <wp:extent cx="6500495" cy="4309110"/>
            <wp:effectExtent l="0" t="0" r="6985" b="3810"/>
            <wp:docPr id="61" name="图片 61" descr="校门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校门口"/>
                    <pic:cNvPicPr>
                      <a:picLocks noChangeAspect="1"/>
                    </pic:cNvPicPr>
                  </pic:nvPicPr>
                  <pic:blipFill>
                    <a:blip r:embed="rId81"/>
                    <a:stretch>
                      <a:fillRect/>
                    </a:stretch>
                  </pic:blipFill>
                  <pic:spPr>
                    <a:xfrm>
                      <a:off x="0" y="0"/>
                      <a:ext cx="6500495" cy="4309110"/>
                    </a:xfrm>
                    <a:prstGeom prst="rect">
                      <a:avLst/>
                    </a:prstGeom>
                  </pic:spPr>
                </pic:pic>
              </a:graphicData>
            </a:graphic>
          </wp:inline>
        </w:drawing>
      </w:r>
    </w:p>
    <w:p>
      <w:pPr>
        <w:shd w:val="clear" w:fill="FFFFFF" w:themeFill="background1"/>
        <w:spacing w:line="240" w:lineRule="auto"/>
        <w:rPr>
          <w:rFonts w:hint="default" w:ascii="仿宋" w:hAnsi="仿宋" w:eastAsia="仿宋"/>
          <w:sz w:val="32"/>
          <w:szCs w:val="32"/>
          <w:lang w:val="en-US" w:eastAsia="zh-CN"/>
        </w:rPr>
      </w:pPr>
    </w:p>
    <w:p>
      <w:pPr>
        <w:shd w:val="clear" w:fill="FFFFFF" w:themeFill="background1"/>
        <w:spacing w:line="240" w:lineRule="auto"/>
        <w:rPr>
          <w:rFonts w:hint="default" w:ascii="仿宋" w:hAnsi="仿宋" w:eastAsia="仿宋"/>
          <w:sz w:val="32"/>
          <w:szCs w:val="32"/>
          <w:lang w:val="en-US" w:eastAsia="zh-CN"/>
        </w:rPr>
      </w:pPr>
    </w:p>
    <w:p>
      <w:pPr>
        <w:shd w:val="clear" w:fill="FFFFFF" w:themeFill="background1"/>
        <w:spacing w:line="240" w:lineRule="auto"/>
        <w:rPr>
          <w:rFonts w:hint="default" w:ascii="仿宋" w:hAnsi="仿宋" w:eastAsia="仿宋"/>
          <w:sz w:val="32"/>
          <w:szCs w:val="32"/>
          <w:lang w:val="en-US" w:eastAsia="zh-CN"/>
        </w:rPr>
      </w:pPr>
    </w:p>
    <w:p>
      <w:pPr>
        <w:shd w:val="clear" w:fill="FFFFFF" w:themeFill="background1"/>
        <w:spacing w:line="240" w:lineRule="auto"/>
        <w:rPr>
          <w:rFonts w:hint="eastAsia" w:ascii="仿宋" w:hAnsi="仿宋" w:eastAsia="仿宋"/>
          <w:sz w:val="32"/>
          <w:szCs w:val="32"/>
          <w:lang w:val="en-US" w:eastAsia="zh-CN"/>
        </w:rPr>
      </w:pPr>
      <w:r>
        <w:rPr>
          <w:rFonts w:hint="default" w:ascii="仿宋" w:hAnsi="仿宋" w:eastAsia="仿宋"/>
          <w:sz w:val="32"/>
          <w:szCs w:val="32"/>
          <w:lang w:val="en-US" w:eastAsia="zh-CN"/>
        </w:rPr>
        <w:t xml:space="preserve">         </w:t>
      </w:r>
    </w:p>
    <w:sectPr>
      <w:footerReference r:id="rId15" w:type="default"/>
      <w:pgSz w:w="11906" w:h="16838"/>
      <w:pgMar w:top="0" w:right="0" w:bottom="0" w:left="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roman"/>
    <w:pitch w:val="default"/>
    <w:sig w:usb0="800002BF" w:usb1="38CF7CFA" w:usb2="00000016" w:usb3="00000000" w:csb0="00040001" w:csb1="00000000"/>
  </w:font>
  <w:font w:name="Tahoma">
    <w:panose1 w:val="020B0604030504040204"/>
    <w:charset w:val="00"/>
    <w:family w:val="modern"/>
    <w:pitch w:val="default"/>
    <w:sig w:usb0="E1002EFF" w:usb1="C000605B" w:usb2="00000029" w:usb3="00000000" w:csb0="200101FF" w:csb1="20280000"/>
  </w:font>
  <w:font w:name="微软雅黑">
    <w:panose1 w:val="020B0503020204020204"/>
    <w:charset w:val="86"/>
    <w:family w:val="modern"/>
    <w:pitch w:val="default"/>
    <w:sig w:usb0="80000287" w:usb1="2ACF3C50" w:usb2="00000016" w:usb3="00000000" w:csb0="0004001F" w:csb1="00000000"/>
  </w:font>
  <w:font w:name="楷体">
    <w:panose1 w:val="02010609060101010101"/>
    <w:charset w:val="86"/>
    <w:family w:val="roman"/>
    <w:pitch w:val="default"/>
    <w:sig w:usb0="800002BF" w:usb1="38CF7CFA" w:usb2="00000016" w:usb3="00000000" w:csb0="00040001" w:csb1="00000000"/>
  </w:font>
  <w:font w:name="仿宋_GB2312">
    <w:altName w:val="仿宋"/>
    <w:panose1 w:val="02010609030101010101"/>
    <w:charset w:val="86"/>
    <w:family w:val="decorative"/>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p>
    <w:pPr>
      <w:pStyle w:val="15"/>
    </w:pPr>
    <w:r>
      <w:rPr>
        <w:sz w:val="18"/>
      </w:rPr>
      <mc:AlternateContent>
        <mc:Choice Requires="wps">
          <w:drawing>
            <wp:anchor distT="0" distB="0" distL="114300" distR="114300" simplePos="0" relativeHeight="251659264" behindDoc="0" locked="0" layoutInCell="1" allowOverlap="1">
              <wp:simplePos x="0" y="0"/>
              <wp:positionH relativeFrom="margin">
                <wp:posOffset>2745740</wp:posOffset>
              </wp:positionH>
              <wp:positionV relativeFrom="paragraph">
                <wp:posOffset>5715</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6.2pt;margin-top:0.45pt;height:144pt;width:144pt;mso-position-horizontal-relative:margin;mso-wrap-style:none;z-index:251659264;mso-width-relative:page;mso-height-relative:page;" filled="f" stroked="f" coordsize="21600,21600" o:gfxdata="UEsDBAoAAAAAAIdO4kAAAAAAAAAAAAAAAAAEAAAAZHJzL1BLAwQUAAAACACHTuJA4vP1N9UAAAAI&#10;AQAADwAAAGRycy9kb3ducmV2LnhtbE2PMU/DMBSEdyT+g/WQ2KjdNII0xKlERRiRaBgY3fiRBOzn&#10;yHbT8O8xEx1Pd7r7rtot1rAZfRgdSVivBDCkzumRegnvbXNXAAtRkVbGEUr4wQC7+vqqUqV2Z3rD&#10;+RB7lkoolErCEONUch66Aa0KKzchJe/Teatikr7n2qtzKreGZ0Lcc6tGSguDmnA/YPd9OFkJ+6Zt&#10;/YzBmw98aTZfr085Pi9S3t6sxSOwiEv8D8MffkKHOjEd3Yl0YEZCvsnyFJWwBZbsh0wkeZSQFcUW&#10;eF3xywP1L1BLAwQUAAAACACHTuJAm4x66jICAABjBAAADgAAAGRycy9lMm9Eb2MueG1srVRLjhMx&#10;EN0jcQfLe9JJEFEUpTMKEwUhRcxIA2LtuN1pS/7JdtIdDgA3YMWGPefKOXjuTwYNLGbBxl12lV/5&#10;varq5U2jFTkJH6Q1OZ2MxpQIw20hzSGnnz5uX80pCZGZgilrRE7PItCb1csXy9otxNRWVhXCE4CY&#10;sKhdTqsY3SLLAq+EZmFknTBwltZrFrH1h6zwrAa6Vtl0PJ5ltfWF85aLEHC66Zy0R/TPAbRlKbnY&#10;WH7UwsQO1QvFIiiFSrpAV+1ry1LweFeWQUSicgqmsV2RBPY+rdlqyRYHz1wlef8E9pwnPOGkmTRI&#10;eoXasMjI0cu/oLTk3gZbxhG3OuuItIqAxWT8RJuHijnRcoHUwV1FD/8Pln843Xsii5xOZ5QYplHx&#10;y/dvlx+/Lj+/EpxBoNqFBeIeHCJj89Y2aJvhPOAw8W5Kr9MXjAj8kPd8lVc0kfB0aT6dz8dwcfiG&#10;DfCzx+vOh/hOWE2SkVOP+rWystMuxC50CEnZjN1KpdoaKkPqnM5evxm3F64egCuDHIlE99hkxWbf&#10;9Mz2tjiDmLddbwTHtxLJdyzEe+bRDHgwxiXeYSmVRRLbW5RU1n/513mKR43gpaRGc+XUYJYoUe8N&#10;agfAOBh+MPaDYY761qJbJxhDx1sTF3xUg1l6qz9jhtYpB1zMcGTKaRzM29g1OGaQi/W6DTo6Lw9V&#10;dwGd51jcmQfHU5okZHDrY4SYrcZJoE6VXjf0Xlulfk5Sc/+5b6Me/w2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Lz9TfVAAAACAEAAA8AAAAAAAAAAQAgAAAAIgAAAGRycy9kb3ducmV2LnhtbFBL&#10;AQIUABQAAAAIAIdO4kCbjHrqMgIAAGMEAAAOAAAAAAAAAAEAIAAAACQBAABkcnMvZTJvRG9jLnht&#10;bFBLBQYAAAAABgAGAFkBAADI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52</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52</w:t>
                    </w:r>
                    <w:r>
                      <w:rPr>
                        <w:rFonts w:hint="eastAsia"/>
                        <w:sz w:val="1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p>
    <w:pPr>
      <w:pStyle w:val="15"/>
    </w:pPr>
    <w:r>
      <w:rPr>
        <w:sz w:val="18"/>
      </w:rPr>
      <mc:AlternateContent>
        <mc:Choice Requires="wps">
          <w:drawing>
            <wp:anchor distT="0" distB="0" distL="114300" distR="114300" simplePos="0" relativeHeight="251661312" behindDoc="0" locked="0" layoutInCell="1" allowOverlap="1">
              <wp:simplePos x="0" y="0"/>
              <wp:positionH relativeFrom="margin">
                <wp:posOffset>2745740</wp:posOffset>
              </wp:positionH>
              <wp:positionV relativeFrom="paragraph">
                <wp:posOffset>5715</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6.2pt;margin-top:0.45pt;height:144pt;width:144pt;mso-position-horizontal-relative:margin;mso-wrap-style:none;z-index:251661312;mso-width-relative:page;mso-height-relative:page;" filled="f" stroked="f" coordsize="21600,21600" o:gfxdata="UEsDBAoAAAAAAIdO4kAAAAAAAAAAAAAAAAAEAAAAZHJzL1BLAwQUAAAACACHTuJA4vP1N9UAAAAI&#10;AQAADwAAAGRycy9kb3ducmV2LnhtbE2PMU/DMBSEdyT+g/WQ2KjdNII0xKlERRiRaBgY3fiRBOzn&#10;yHbT8O8xEx1Pd7r7rtot1rAZfRgdSVivBDCkzumRegnvbXNXAAtRkVbGEUr4wQC7+vqqUqV2Z3rD&#10;+RB7lkoolErCEONUch66Aa0KKzchJe/Teatikr7n2qtzKreGZ0Lcc6tGSguDmnA/YPd9OFkJ+6Zt&#10;/YzBmw98aTZfr085Pi9S3t6sxSOwiEv8D8MffkKHOjEd3Yl0YEZCvsnyFJWwBZbsh0wkeZSQFcUW&#10;eF3xywP1L1BLAwQUAAAACACHTuJA1HeY5jICAABjBAAADgAAAGRycy9lMm9Eb2MueG1srVRLjhMx&#10;EN0jcQfLe9JJEKMoSmcUJgpCipiRAmLtuN1pS/7JdtIdDgA3YMWGPefKOXjuTwYNLGbBxl12lV/5&#10;varqxW2jFTkJH6Q1OZ2MxpQIw20hzSGnnz5uXs0oCZGZgilrRE7PItDb5csXi9rNxdRWVhXCE4CY&#10;MK9dTqsY3TzLAq+EZmFknTBwltZrFrH1h6zwrAa6Vtl0PL7JausL5y0XIeB03Tlpj+ifA2jLUnKx&#10;tvyohYkdqheKRVAKlXSBLtvXlqXg8b4sg4hE5RRMY7siCex9WrPlgs0PnrlK8v4J7DlPeMJJM2mQ&#10;9Aq1ZpGRo5d/QWnJvQ22jCNuddYRaRUBi8n4iTa7ijnRcoHUwV1FD/8Pln84PXgii5xOIYlhGhW/&#10;fP92+fHr8vMrwRkEql2YI27nEBmbt7ZB2wznAYeJd1N6nb5gROAH1vkqr2gi4enSbDqbjeHi8A0b&#10;4GeP150P8Z2wmiQjpx71a2Vlp22IXegQkrIZu5FKtTVUhtQ5vXn9ZtxeuHoArgxyJBLdY5MVm33T&#10;M9vb4gxi3na9ERzfSCTfshAfmEcz4MEYl3iPpVQWSWxvUVJZ/+Vf5ykeNYKXkhrNlVODWaJEvTeo&#10;HQDjYPjB2A+GOeo7i26dYAwdb01c8FENZumt/owZWqUccDHDkSmncTDvYtfgmEEuVqs26Oi8PFTd&#10;BXSeY3Frdo6nNEnI4FbHCDFbjZNAnSq9bui9tkr9nKTm/nPfRj3+G5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Lz9TfVAAAACAEAAA8AAAAAAAAAAQAgAAAAIgAAAGRycy9kb3ducmV2LnhtbFBL&#10;AQIUABQAAAAIAIdO4kDUd5jmMgIAAGMEAAAOAAAAAAAAAAEAIAAAACQBAABkcnMvZTJvRG9jLnht&#10;bFBLBQYAAAAABgAGAFkBAADI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p>
    <w:pPr>
      <w:pStyle w:val="15"/>
    </w:pPr>
    <w:r>
      <w:rPr>
        <w:sz w:val="18"/>
      </w:rPr>
      <mc:AlternateContent>
        <mc:Choice Requires="wps">
          <w:drawing>
            <wp:anchor distT="0" distB="0" distL="114300" distR="114300" simplePos="0" relativeHeight="251673600" behindDoc="0" locked="0" layoutInCell="1" allowOverlap="1">
              <wp:simplePos x="0" y="0"/>
              <wp:positionH relativeFrom="margin">
                <wp:posOffset>2745740</wp:posOffset>
              </wp:positionH>
              <wp:positionV relativeFrom="paragraph">
                <wp:posOffset>5715</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6.2pt;margin-top:0.45pt;height:144pt;width:144pt;mso-position-horizontal-relative:margin;mso-wrap-style:none;z-index:251673600;mso-width-relative:page;mso-height-relative:page;" filled="f" stroked="f" coordsize="21600,21600" o:gfxdata="UEsDBAoAAAAAAIdO4kAAAAAAAAAAAAAAAAAEAAAAZHJzL1BLAwQUAAAACACHTuJA4vP1N9UAAAAI&#10;AQAADwAAAGRycy9kb3ducmV2LnhtbE2PMU/DMBSEdyT+g/WQ2KjdNII0xKlERRiRaBgY3fiRBOzn&#10;yHbT8O8xEx1Pd7r7rtot1rAZfRgdSVivBDCkzumRegnvbXNXAAtRkVbGEUr4wQC7+vqqUqV2Z3rD&#10;+RB7lkoolErCEONUch66Aa0KKzchJe/Teatikr7n2qtzKreGZ0Lcc6tGSguDmnA/YPd9OFkJ+6Zt&#10;/YzBmw98aTZfr085Pi9S3t6sxSOwiEv8D8MffkKHOjEd3Yl0YEZCvsnyFJWwBZbsh0wkeZSQFcUW&#10;eF3xywP1L1BLAwQUAAAACACHTuJAgoR2GDMCAABjBAAADgAAAGRycy9lMm9Eb2MueG1srVTNjtMw&#10;EL4j8Q6W7zRpEatSNV2VrYqQKnalBXF2Haex5D/ZbpPyAPAGnLhw3+fqc/A5abpo4bAHLs7YM/7G&#10;3zczmV+3WpGD8EFaU9DxKKdEGG5LaXYF/fxp/WpKSYjMlExZIwp6FIFeL16+mDduJia2tqoUngDE&#10;hFnjClrH6GZZFngtNAsj64SBs7Jes4it32WlZw3QtcomeX6VNdaXzlsuQsDpqnfSM6J/DqCtKsnF&#10;yvK9Fib2qF4oFkEp1NIFuuheW1WCx9uqCiISVVAwjd2KJLC3ac0WczbbeeZqyc9PYM95whNOmkmD&#10;pBeoFYuM7L38C0pL7m2wVRxxq7OeSKcIWIzzJ9rc18yJjgukDu4ievh/sPzj4c4TWRZ08pYSwzQq&#10;fvrx/fTz4fTrG8EZBGpcmCHu3iEytu9si7YZzgMOE++28jp9wYjAD3mPF3lFGwlPl6aT6TSHi8M3&#10;bICfPV53PsT3wmqSjIJ61K+TlR02IfahQ0jKZuxaKtXVUBnSFPTq9Zu8u3DxAFwZ5Egk+scmK7bb&#10;9sxsa8sjiHnb90ZwfC2RfMNCvGMezYAHY1ziLZZKWSSxZ4uS2vqv/zpP8agRvJQ0aK6CGswSJeqD&#10;Qe0AGAfDD8Z2MMxe31h06xhj6Hhn4oKPajArb/UXzNAy5YCLGY5MBY2DeRP7BscMcrFcdkF75+Wu&#10;7i+g8xyLG3PveEqThAxuuY8Qs9M4CdSrctYNvddV6Twnqbn/3HdRj/+G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i8/U31QAAAAgBAAAPAAAAAAAAAAEAIAAAACIAAABkcnMvZG93bnJldi54bWxQ&#10;SwECFAAUAAAACACHTuJAgoR2GDMCAABjBAAADgAAAAAAAAABACAAAAAkAQAAZHJzL2Uyb0RvYy54&#10;bWxQSwUGAAAAAAYABgBZAQAAyQ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76672" behindDoc="0" locked="0" layoutInCell="1" allowOverlap="1">
              <wp:simplePos x="0" y="0"/>
              <wp:positionH relativeFrom="margin">
                <wp:posOffset>2745740</wp:posOffset>
              </wp:positionH>
              <wp:positionV relativeFrom="paragraph">
                <wp:posOffset>5715</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6.2pt;margin-top:0.45pt;height:144pt;width:144pt;mso-position-horizontal-relative:margin;mso-wrap-style:none;z-index:251676672;mso-width-relative:page;mso-height-relative:page;" filled="f" stroked="f" coordsize="21600,21600" o:gfxdata="UEsDBAoAAAAAAIdO4kAAAAAAAAAAAAAAAAAEAAAAZHJzL1BLAwQUAAAACACHTuJA4vP1N9UAAAAI&#10;AQAADwAAAGRycy9kb3ducmV2LnhtbE2PMU/DMBSEdyT+g/WQ2KjdNII0xKlERRiRaBgY3fiRBOzn&#10;yHbT8O8xEx1Pd7r7rtot1rAZfRgdSVivBDCkzumRegnvbXNXAAtRkVbGEUr4wQC7+vqqUqV2Z3rD&#10;+RB7lkoolErCEONUch66Aa0KKzchJe/Teatikr7n2qtzKreGZ0Lcc6tGSguDmnA/YPd9OFkJ+6Zt&#10;/YzBmw98aTZfr085Pi9S3t6sxSOwiEv8D8MffkKHOjEd3Yl0YEZCvsnyFJWwBZbsh0wkeZSQFcUW&#10;eF3xywP1L1BLAwQUAAAACACHTuJA1JvcbzMCAABjBAAADgAAAGRycy9lMm9Eb2MueG1srVRLjhMx&#10;EN0jcQfLe9JJRoyiKJ1RmCgIKWJGGhBrx+1OW/JPtpPucAC4ASs27DlXzjHP/cmggcUs2LjLrvIr&#10;v1dVvbhptCJH4YO0JqeT0ZgSYbgtpNnn9POnzZsZJSEyUzBljcjpSQR6s3z9alG7uZjayqpCeAIQ&#10;E+a1y2kVo5tnWeCV0CyMrBMGztJ6zSK2fp8VntVA1yqbjsfXWW194bzlIgScrjsn7RH9SwBtWUou&#10;1pYftDCxQ/VCsQhKoZIu0GX72rIUPN6VZRCRqJyCaWxXJIG9S2u2XLD53jNXSd4/gb3kCc84aSYN&#10;kl6g1iwycvDyLygtubfBlnHErc46Iq0iYDEZP9PmoWJOtFwgdXAX0cP/g+Ufj/eeyCKnV6i7YRoV&#10;P//4fv75+/zrG8EZBKpdmCPuwSEyNu9sg7YZzgMOE++m9Dp9wYjAD3lPF3lFEwlPl2bT2WwMF4dv&#10;2AA/e7rufIjvhdUkGTn1qF8rKztuQ+xCh5CUzdiNVKqtoTKkzun11dtxe+HiAbgyyJFIdI9NVmx2&#10;Tc9sZ4sTiHnb9UZwfCORfMtCvGcezYAHY1ziHZZSWSSxvUVJZf3Xf52neNQIXkpqNFdODWaJEvXB&#10;oHYAjIPhB2M3GOagby26dYIxdLw1ccFHNZilt/oLZmiVcsDFDEemnMbBvI1dg2MGuVit2qCD83Jf&#10;dRfQeY7FrXlwPKVJQga3OkSI2WqcBOpU6XVD77VV6uckNfef+zbq6d+wfA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i8/U31QAAAAgBAAAPAAAAAAAAAAEAIAAAACIAAABkcnMvZG93bnJldi54bWxQ&#10;SwECFAAUAAAACACHTuJA1JvcbzMCAABjBAAADgAAAAAAAAABACAAAAAkAQAAZHJzL2Uyb0RvYy54&#10;bWxQSwUGAAAAAAYABgBZAQAAyQ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9</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9</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hint="default" w:eastAsia="宋体"/>
        <w:b/>
        <w:bCs/>
        <w:sz w:val="24"/>
        <w:szCs w:val="24"/>
        <w:lang w:val="en-US" w:eastAsia="zh-CN"/>
      </w:rPr>
    </w:pPr>
    <w:r>
      <w:drawing>
        <wp:anchor distT="0" distB="0" distL="114300" distR="114300" simplePos="0" relativeHeight="251660288" behindDoc="0" locked="0" layoutInCell="1" allowOverlap="1">
          <wp:simplePos x="0" y="0"/>
          <wp:positionH relativeFrom="column">
            <wp:posOffset>135890</wp:posOffset>
          </wp:positionH>
          <wp:positionV relativeFrom="paragraph">
            <wp:posOffset>45720</wp:posOffset>
          </wp:positionV>
          <wp:extent cx="187325" cy="191135"/>
          <wp:effectExtent l="0" t="0" r="10795" b="6985"/>
          <wp:wrapSquare wrapText="bothSides"/>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
                  <a:stretch>
                    <a:fillRect/>
                  </a:stretch>
                </pic:blipFill>
                <pic:spPr>
                  <a:xfrm>
                    <a:off x="0" y="0"/>
                    <a:ext cx="187325" cy="191135"/>
                  </a:xfrm>
                  <a:prstGeom prst="ellipse">
                    <a:avLst/>
                  </a:prstGeom>
                  <a:noFill/>
                  <a:ln>
                    <a:noFill/>
                  </a:ln>
                </pic:spPr>
              </pic:pic>
            </a:graphicData>
          </a:graphic>
        </wp:anchor>
      </w:drawing>
    </w:r>
    <w:r>
      <w:rPr>
        <w:rFonts w:hint="eastAsia"/>
        <w:b/>
        <w:bCs/>
        <w:sz w:val="28"/>
        <w:szCs w:val="28"/>
        <w:lang w:val="en-US" w:eastAsia="zh-CN"/>
      </w:rPr>
      <w:t>涿鹿县职业技术教育中心中等职业教育质量年度报告（</w:t>
    </w:r>
    <w:r>
      <w:rPr>
        <w:rFonts w:hint="default"/>
        <w:b/>
        <w:bCs/>
        <w:sz w:val="28"/>
        <w:szCs w:val="28"/>
        <w:lang w:val="en-US" w:eastAsia="zh-CN"/>
      </w:rPr>
      <w:t>202</w:t>
    </w:r>
    <w:r>
      <w:rPr>
        <w:rFonts w:hint="eastAsia"/>
        <w:b/>
        <w:bCs/>
        <w:sz w:val="28"/>
        <w:szCs w:val="28"/>
        <w:lang w:val="en-US" w:eastAsia="zh-CN"/>
      </w:rP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AD031E"/>
    <w:multiLevelType w:val="singleLevel"/>
    <w:tmpl w:val="9BAD031E"/>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yMDQ2YjI2NGZmYzU5OTdmNGZjMmFlODFjYjYyMWUifQ=="/>
  </w:docVars>
  <w:rsids>
    <w:rsidRoot w:val="00172A27"/>
    <w:rsid w:val="001740B8"/>
    <w:rsid w:val="003D52DB"/>
    <w:rsid w:val="00451362"/>
    <w:rsid w:val="004A300C"/>
    <w:rsid w:val="005074AB"/>
    <w:rsid w:val="00514748"/>
    <w:rsid w:val="00534F15"/>
    <w:rsid w:val="007F12C2"/>
    <w:rsid w:val="00A07E42"/>
    <w:rsid w:val="00A739EB"/>
    <w:rsid w:val="00D85C12"/>
    <w:rsid w:val="00E4045C"/>
    <w:rsid w:val="00F15753"/>
    <w:rsid w:val="01105C0A"/>
    <w:rsid w:val="014C6AD7"/>
    <w:rsid w:val="01671206"/>
    <w:rsid w:val="01B93E2F"/>
    <w:rsid w:val="01BC4FD7"/>
    <w:rsid w:val="01D32D5E"/>
    <w:rsid w:val="01F10457"/>
    <w:rsid w:val="01FA6B5E"/>
    <w:rsid w:val="01FE46B7"/>
    <w:rsid w:val="02073935"/>
    <w:rsid w:val="0212446E"/>
    <w:rsid w:val="02226AEE"/>
    <w:rsid w:val="022F5B14"/>
    <w:rsid w:val="02404AC2"/>
    <w:rsid w:val="02462670"/>
    <w:rsid w:val="024E7B53"/>
    <w:rsid w:val="0260540B"/>
    <w:rsid w:val="02636ADF"/>
    <w:rsid w:val="02683331"/>
    <w:rsid w:val="02856C3F"/>
    <w:rsid w:val="02992D55"/>
    <w:rsid w:val="02A76DB0"/>
    <w:rsid w:val="02CF7A95"/>
    <w:rsid w:val="03142F6F"/>
    <w:rsid w:val="031C6B98"/>
    <w:rsid w:val="032C49F2"/>
    <w:rsid w:val="033E4082"/>
    <w:rsid w:val="03403CD3"/>
    <w:rsid w:val="0341053B"/>
    <w:rsid w:val="035578FE"/>
    <w:rsid w:val="035D3629"/>
    <w:rsid w:val="035E34D3"/>
    <w:rsid w:val="03CF3D76"/>
    <w:rsid w:val="03F11CFC"/>
    <w:rsid w:val="03F308E5"/>
    <w:rsid w:val="03F61BC1"/>
    <w:rsid w:val="040D4BB4"/>
    <w:rsid w:val="04275586"/>
    <w:rsid w:val="04351BFD"/>
    <w:rsid w:val="04977C3C"/>
    <w:rsid w:val="04B0372E"/>
    <w:rsid w:val="04B32392"/>
    <w:rsid w:val="04BF47C8"/>
    <w:rsid w:val="04C4743F"/>
    <w:rsid w:val="04D64B5C"/>
    <w:rsid w:val="05057C44"/>
    <w:rsid w:val="05152774"/>
    <w:rsid w:val="05273E6E"/>
    <w:rsid w:val="05301296"/>
    <w:rsid w:val="054531B9"/>
    <w:rsid w:val="05536BA9"/>
    <w:rsid w:val="057F139A"/>
    <w:rsid w:val="057F65E3"/>
    <w:rsid w:val="05885110"/>
    <w:rsid w:val="05901EE4"/>
    <w:rsid w:val="059544CB"/>
    <w:rsid w:val="059973C7"/>
    <w:rsid w:val="059F2426"/>
    <w:rsid w:val="05B9668B"/>
    <w:rsid w:val="05E41990"/>
    <w:rsid w:val="05F511B2"/>
    <w:rsid w:val="05FA1CD1"/>
    <w:rsid w:val="06003B4E"/>
    <w:rsid w:val="06145ECE"/>
    <w:rsid w:val="06382D62"/>
    <w:rsid w:val="063970F9"/>
    <w:rsid w:val="063C3C98"/>
    <w:rsid w:val="06665758"/>
    <w:rsid w:val="066D298E"/>
    <w:rsid w:val="06720A46"/>
    <w:rsid w:val="06DA018A"/>
    <w:rsid w:val="07036AA2"/>
    <w:rsid w:val="070C06BF"/>
    <w:rsid w:val="07173893"/>
    <w:rsid w:val="0741587F"/>
    <w:rsid w:val="074A64A0"/>
    <w:rsid w:val="075D7A67"/>
    <w:rsid w:val="07736208"/>
    <w:rsid w:val="07750703"/>
    <w:rsid w:val="078D0990"/>
    <w:rsid w:val="07992E51"/>
    <w:rsid w:val="0814117A"/>
    <w:rsid w:val="0814795D"/>
    <w:rsid w:val="083235C0"/>
    <w:rsid w:val="083D6616"/>
    <w:rsid w:val="084C7340"/>
    <w:rsid w:val="08574E39"/>
    <w:rsid w:val="08661D90"/>
    <w:rsid w:val="086A79BE"/>
    <w:rsid w:val="08A57B1E"/>
    <w:rsid w:val="08AC2593"/>
    <w:rsid w:val="08AC5F59"/>
    <w:rsid w:val="08AD3E87"/>
    <w:rsid w:val="08C40D94"/>
    <w:rsid w:val="08CB18DE"/>
    <w:rsid w:val="08E742B7"/>
    <w:rsid w:val="09127EE4"/>
    <w:rsid w:val="095F11CE"/>
    <w:rsid w:val="097C6712"/>
    <w:rsid w:val="098C4818"/>
    <w:rsid w:val="09A049E7"/>
    <w:rsid w:val="09C35D9B"/>
    <w:rsid w:val="09C454E2"/>
    <w:rsid w:val="09DC411C"/>
    <w:rsid w:val="0A2B4E10"/>
    <w:rsid w:val="0A4968CB"/>
    <w:rsid w:val="0A4D504C"/>
    <w:rsid w:val="0A4F0329"/>
    <w:rsid w:val="0A665936"/>
    <w:rsid w:val="0A6D16AC"/>
    <w:rsid w:val="0A9C3266"/>
    <w:rsid w:val="0A9E2020"/>
    <w:rsid w:val="0AB3584B"/>
    <w:rsid w:val="0AC1457B"/>
    <w:rsid w:val="0AEB039F"/>
    <w:rsid w:val="0AF91019"/>
    <w:rsid w:val="0B052945"/>
    <w:rsid w:val="0B063374"/>
    <w:rsid w:val="0B173333"/>
    <w:rsid w:val="0B2127AC"/>
    <w:rsid w:val="0B2533BC"/>
    <w:rsid w:val="0B3164A6"/>
    <w:rsid w:val="0B410B62"/>
    <w:rsid w:val="0B5C692A"/>
    <w:rsid w:val="0B705FC6"/>
    <w:rsid w:val="0B7125D8"/>
    <w:rsid w:val="0B7D1FB9"/>
    <w:rsid w:val="0B90442E"/>
    <w:rsid w:val="0BAA10E6"/>
    <w:rsid w:val="0BEB16F7"/>
    <w:rsid w:val="0BED3B60"/>
    <w:rsid w:val="0C3E0E31"/>
    <w:rsid w:val="0C480EAC"/>
    <w:rsid w:val="0C490FF4"/>
    <w:rsid w:val="0C6878E2"/>
    <w:rsid w:val="0C71327D"/>
    <w:rsid w:val="0C7758C7"/>
    <w:rsid w:val="0C89573C"/>
    <w:rsid w:val="0C930630"/>
    <w:rsid w:val="0CAE6BF8"/>
    <w:rsid w:val="0CC01A80"/>
    <w:rsid w:val="0CC13DF2"/>
    <w:rsid w:val="0CCB63FF"/>
    <w:rsid w:val="0CDD2D67"/>
    <w:rsid w:val="0D02362E"/>
    <w:rsid w:val="0D490DFA"/>
    <w:rsid w:val="0D651203"/>
    <w:rsid w:val="0D664DF0"/>
    <w:rsid w:val="0D6A37F1"/>
    <w:rsid w:val="0D76136A"/>
    <w:rsid w:val="0D7A5229"/>
    <w:rsid w:val="0DA9420C"/>
    <w:rsid w:val="0DC0224E"/>
    <w:rsid w:val="0DD8320F"/>
    <w:rsid w:val="0DE940C9"/>
    <w:rsid w:val="0E06122D"/>
    <w:rsid w:val="0E124F97"/>
    <w:rsid w:val="0E7A3F8C"/>
    <w:rsid w:val="0EC428EF"/>
    <w:rsid w:val="0EF649BA"/>
    <w:rsid w:val="0EFD4174"/>
    <w:rsid w:val="0F4417D4"/>
    <w:rsid w:val="0F9D0CC9"/>
    <w:rsid w:val="0FAD65DC"/>
    <w:rsid w:val="0FE36D4C"/>
    <w:rsid w:val="1009024C"/>
    <w:rsid w:val="101D5EEA"/>
    <w:rsid w:val="10223EEA"/>
    <w:rsid w:val="103C51D4"/>
    <w:rsid w:val="104D0955"/>
    <w:rsid w:val="109F6099"/>
    <w:rsid w:val="10A050FE"/>
    <w:rsid w:val="10A468CB"/>
    <w:rsid w:val="10D12BDA"/>
    <w:rsid w:val="10DC4506"/>
    <w:rsid w:val="110A681F"/>
    <w:rsid w:val="11197301"/>
    <w:rsid w:val="111D70E6"/>
    <w:rsid w:val="112124E5"/>
    <w:rsid w:val="11474063"/>
    <w:rsid w:val="11551C09"/>
    <w:rsid w:val="115F4380"/>
    <w:rsid w:val="11714B0F"/>
    <w:rsid w:val="118F4E0E"/>
    <w:rsid w:val="11973893"/>
    <w:rsid w:val="11AB291B"/>
    <w:rsid w:val="11DA4282"/>
    <w:rsid w:val="11DC75EA"/>
    <w:rsid w:val="11EC21E6"/>
    <w:rsid w:val="11F6745D"/>
    <w:rsid w:val="12257AB0"/>
    <w:rsid w:val="1269779D"/>
    <w:rsid w:val="12743F0D"/>
    <w:rsid w:val="1284005A"/>
    <w:rsid w:val="1284434A"/>
    <w:rsid w:val="12980D7E"/>
    <w:rsid w:val="12B51FAA"/>
    <w:rsid w:val="12C55181"/>
    <w:rsid w:val="12DE3F05"/>
    <w:rsid w:val="12FB1439"/>
    <w:rsid w:val="130F6F93"/>
    <w:rsid w:val="131B1245"/>
    <w:rsid w:val="132205B2"/>
    <w:rsid w:val="134554FB"/>
    <w:rsid w:val="136906CA"/>
    <w:rsid w:val="13B05B5F"/>
    <w:rsid w:val="13B10691"/>
    <w:rsid w:val="13B96E1A"/>
    <w:rsid w:val="13D934CF"/>
    <w:rsid w:val="13DD5410"/>
    <w:rsid w:val="13E639F1"/>
    <w:rsid w:val="13FB518F"/>
    <w:rsid w:val="14044A16"/>
    <w:rsid w:val="14143FA2"/>
    <w:rsid w:val="143F72F8"/>
    <w:rsid w:val="147210F3"/>
    <w:rsid w:val="147A3E24"/>
    <w:rsid w:val="149A23D1"/>
    <w:rsid w:val="14AB7215"/>
    <w:rsid w:val="14BC4E49"/>
    <w:rsid w:val="14F21236"/>
    <w:rsid w:val="14F376AC"/>
    <w:rsid w:val="14FD700E"/>
    <w:rsid w:val="150F5B3B"/>
    <w:rsid w:val="15131011"/>
    <w:rsid w:val="15697EDF"/>
    <w:rsid w:val="15791739"/>
    <w:rsid w:val="15AE1D5C"/>
    <w:rsid w:val="15AE70E3"/>
    <w:rsid w:val="15BA1A2B"/>
    <w:rsid w:val="15F6763A"/>
    <w:rsid w:val="160B567E"/>
    <w:rsid w:val="164674CC"/>
    <w:rsid w:val="164D5B6D"/>
    <w:rsid w:val="164E034A"/>
    <w:rsid w:val="164E6A8C"/>
    <w:rsid w:val="16540CA8"/>
    <w:rsid w:val="1663410C"/>
    <w:rsid w:val="16970F29"/>
    <w:rsid w:val="16A57ADF"/>
    <w:rsid w:val="16CD173E"/>
    <w:rsid w:val="16E973E0"/>
    <w:rsid w:val="16F716A4"/>
    <w:rsid w:val="17055B3A"/>
    <w:rsid w:val="17220329"/>
    <w:rsid w:val="17265DA1"/>
    <w:rsid w:val="172871F0"/>
    <w:rsid w:val="172C236F"/>
    <w:rsid w:val="17700637"/>
    <w:rsid w:val="17753489"/>
    <w:rsid w:val="17984DFC"/>
    <w:rsid w:val="179A2FEE"/>
    <w:rsid w:val="17E86E20"/>
    <w:rsid w:val="180D5B2E"/>
    <w:rsid w:val="18124931"/>
    <w:rsid w:val="18182435"/>
    <w:rsid w:val="18267816"/>
    <w:rsid w:val="182767CC"/>
    <w:rsid w:val="18365086"/>
    <w:rsid w:val="183F1B04"/>
    <w:rsid w:val="1845570D"/>
    <w:rsid w:val="184D2BEC"/>
    <w:rsid w:val="185028C4"/>
    <w:rsid w:val="18557A29"/>
    <w:rsid w:val="18780DC6"/>
    <w:rsid w:val="18787A23"/>
    <w:rsid w:val="187D76B3"/>
    <w:rsid w:val="18A65811"/>
    <w:rsid w:val="18D55417"/>
    <w:rsid w:val="18E2169F"/>
    <w:rsid w:val="18E916F9"/>
    <w:rsid w:val="18EC2F4D"/>
    <w:rsid w:val="18ED11D3"/>
    <w:rsid w:val="18F87B49"/>
    <w:rsid w:val="19064BD8"/>
    <w:rsid w:val="190D205A"/>
    <w:rsid w:val="1916202B"/>
    <w:rsid w:val="193040EE"/>
    <w:rsid w:val="193E00EC"/>
    <w:rsid w:val="19692BC8"/>
    <w:rsid w:val="197702FC"/>
    <w:rsid w:val="198C3628"/>
    <w:rsid w:val="1994748B"/>
    <w:rsid w:val="1999026F"/>
    <w:rsid w:val="19A45BE9"/>
    <w:rsid w:val="19B4591E"/>
    <w:rsid w:val="19F310EA"/>
    <w:rsid w:val="19FA694C"/>
    <w:rsid w:val="19FC0C57"/>
    <w:rsid w:val="1A0135A2"/>
    <w:rsid w:val="1A035C7F"/>
    <w:rsid w:val="1A071325"/>
    <w:rsid w:val="1A08550F"/>
    <w:rsid w:val="1A1B6B5E"/>
    <w:rsid w:val="1A6763AE"/>
    <w:rsid w:val="1A6D4B80"/>
    <w:rsid w:val="1A6F2119"/>
    <w:rsid w:val="1A786671"/>
    <w:rsid w:val="1A85237C"/>
    <w:rsid w:val="1A9E4A27"/>
    <w:rsid w:val="1AAD4099"/>
    <w:rsid w:val="1AAF0B21"/>
    <w:rsid w:val="1AB5158C"/>
    <w:rsid w:val="1ABA7641"/>
    <w:rsid w:val="1B16046A"/>
    <w:rsid w:val="1B2D0B90"/>
    <w:rsid w:val="1B2E6E72"/>
    <w:rsid w:val="1B613930"/>
    <w:rsid w:val="1B8D03CB"/>
    <w:rsid w:val="1BB37EEB"/>
    <w:rsid w:val="1BB55076"/>
    <w:rsid w:val="1BD844EF"/>
    <w:rsid w:val="1C0052A8"/>
    <w:rsid w:val="1C015AE8"/>
    <w:rsid w:val="1C1842D4"/>
    <w:rsid w:val="1C431586"/>
    <w:rsid w:val="1C6B331B"/>
    <w:rsid w:val="1C6F0BE2"/>
    <w:rsid w:val="1C7F2CCB"/>
    <w:rsid w:val="1C90266B"/>
    <w:rsid w:val="1C93341D"/>
    <w:rsid w:val="1CAF346E"/>
    <w:rsid w:val="1CBF4FC7"/>
    <w:rsid w:val="1CCE50B3"/>
    <w:rsid w:val="1CE81689"/>
    <w:rsid w:val="1D1C206F"/>
    <w:rsid w:val="1D666D19"/>
    <w:rsid w:val="1D847E06"/>
    <w:rsid w:val="1DB048E2"/>
    <w:rsid w:val="1DCF0933"/>
    <w:rsid w:val="1DD53056"/>
    <w:rsid w:val="1DDB7C8F"/>
    <w:rsid w:val="1DF019D8"/>
    <w:rsid w:val="1E584F57"/>
    <w:rsid w:val="1E66403A"/>
    <w:rsid w:val="1E81493D"/>
    <w:rsid w:val="1E84238B"/>
    <w:rsid w:val="1E8E63A6"/>
    <w:rsid w:val="1EAB4E7C"/>
    <w:rsid w:val="1EC6193A"/>
    <w:rsid w:val="1EC76199"/>
    <w:rsid w:val="1EC87BEA"/>
    <w:rsid w:val="1ED273ED"/>
    <w:rsid w:val="1EE109F7"/>
    <w:rsid w:val="1EEB770A"/>
    <w:rsid w:val="1EF236C9"/>
    <w:rsid w:val="1F374973"/>
    <w:rsid w:val="1F6012A5"/>
    <w:rsid w:val="1F624B43"/>
    <w:rsid w:val="1F8D20DA"/>
    <w:rsid w:val="1F944EFD"/>
    <w:rsid w:val="1FAF0CD1"/>
    <w:rsid w:val="1FB12471"/>
    <w:rsid w:val="1FB97781"/>
    <w:rsid w:val="1FCB522D"/>
    <w:rsid w:val="1FD51161"/>
    <w:rsid w:val="1FE602C7"/>
    <w:rsid w:val="1FED2763"/>
    <w:rsid w:val="1FF37145"/>
    <w:rsid w:val="201366A4"/>
    <w:rsid w:val="20157E35"/>
    <w:rsid w:val="20245614"/>
    <w:rsid w:val="20270A29"/>
    <w:rsid w:val="203A1F66"/>
    <w:rsid w:val="20447BE1"/>
    <w:rsid w:val="208805E6"/>
    <w:rsid w:val="209C4220"/>
    <w:rsid w:val="20AF1F72"/>
    <w:rsid w:val="20B54545"/>
    <w:rsid w:val="20B9075B"/>
    <w:rsid w:val="20BF5F2F"/>
    <w:rsid w:val="20D17ED6"/>
    <w:rsid w:val="20D74C63"/>
    <w:rsid w:val="20FF6767"/>
    <w:rsid w:val="212E2207"/>
    <w:rsid w:val="2130650E"/>
    <w:rsid w:val="21452C28"/>
    <w:rsid w:val="21497536"/>
    <w:rsid w:val="21593560"/>
    <w:rsid w:val="215F3B73"/>
    <w:rsid w:val="216D6656"/>
    <w:rsid w:val="21780615"/>
    <w:rsid w:val="218B3CE0"/>
    <w:rsid w:val="218D28A9"/>
    <w:rsid w:val="219A09E2"/>
    <w:rsid w:val="219B1A8B"/>
    <w:rsid w:val="21AE118A"/>
    <w:rsid w:val="21AF2602"/>
    <w:rsid w:val="21BA794A"/>
    <w:rsid w:val="21C108E0"/>
    <w:rsid w:val="21C21F6F"/>
    <w:rsid w:val="21D56D90"/>
    <w:rsid w:val="22447ACB"/>
    <w:rsid w:val="22601333"/>
    <w:rsid w:val="226D717B"/>
    <w:rsid w:val="22760CE1"/>
    <w:rsid w:val="228520AF"/>
    <w:rsid w:val="229A433F"/>
    <w:rsid w:val="22CB414D"/>
    <w:rsid w:val="22D33225"/>
    <w:rsid w:val="22D530F5"/>
    <w:rsid w:val="22E3395C"/>
    <w:rsid w:val="22E52E5A"/>
    <w:rsid w:val="22E60E0C"/>
    <w:rsid w:val="22E8026C"/>
    <w:rsid w:val="22F077C5"/>
    <w:rsid w:val="230657C0"/>
    <w:rsid w:val="231A225E"/>
    <w:rsid w:val="231D32AA"/>
    <w:rsid w:val="23263DC8"/>
    <w:rsid w:val="235024BB"/>
    <w:rsid w:val="235301F7"/>
    <w:rsid w:val="236B0A68"/>
    <w:rsid w:val="237B44A0"/>
    <w:rsid w:val="23995A17"/>
    <w:rsid w:val="23A74EE9"/>
    <w:rsid w:val="24043109"/>
    <w:rsid w:val="240A618D"/>
    <w:rsid w:val="242A64BA"/>
    <w:rsid w:val="246138AE"/>
    <w:rsid w:val="247803F0"/>
    <w:rsid w:val="24792370"/>
    <w:rsid w:val="24863934"/>
    <w:rsid w:val="24951702"/>
    <w:rsid w:val="24997A83"/>
    <w:rsid w:val="24A566EA"/>
    <w:rsid w:val="24B202CF"/>
    <w:rsid w:val="24C55E83"/>
    <w:rsid w:val="24D1773B"/>
    <w:rsid w:val="24F37934"/>
    <w:rsid w:val="25407660"/>
    <w:rsid w:val="257347D1"/>
    <w:rsid w:val="2580380E"/>
    <w:rsid w:val="2585196B"/>
    <w:rsid w:val="2586307B"/>
    <w:rsid w:val="259119AA"/>
    <w:rsid w:val="25A7068A"/>
    <w:rsid w:val="25D96168"/>
    <w:rsid w:val="25DE3845"/>
    <w:rsid w:val="25EC2C54"/>
    <w:rsid w:val="25EE4272"/>
    <w:rsid w:val="26051472"/>
    <w:rsid w:val="26100E0C"/>
    <w:rsid w:val="2631791A"/>
    <w:rsid w:val="264741F4"/>
    <w:rsid w:val="266D1750"/>
    <w:rsid w:val="267456D6"/>
    <w:rsid w:val="26752206"/>
    <w:rsid w:val="26786CB9"/>
    <w:rsid w:val="268D277A"/>
    <w:rsid w:val="26C31265"/>
    <w:rsid w:val="26D1202A"/>
    <w:rsid w:val="26D46692"/>
    <w:rsid w:val="26FE22E4"/>
    <w:rsid w:val="26FE326D"/>
    <w:rsid w:val="27004C4D"/>
    <w:rsid w:val="272E504B"/>
    <w:rsid w:val="27500502"/>
    <w:rsid w:val="278D7ADF"/>
    <w:rsid w:val="27B04239"/>
    <w:rsid w:val="27B5130C"/>
    <w:rsid w:val="27BB4B78"/>
    <w:rsid w:val="282135B0"/>
    <w:rsid w:val="28257173"/>
    <w:rsid w:val="282E74F6"/>
    <w:rsid w:val="282F5204"/>
    <w:rsid w:val="283F78B6"/>
    <w:rsid w:val="28451478"/>
    <w:rsid w:val="28964581"/>
    <w:rsid w:val="28F94040"/>
    <w:rsid w:val="29135A01"/>
    <w:rsid w:val="292578DA"/>
    <w:rsid w:val="29271BE5"/>
    <w:rsid w:val="29450B00"/>
    <w:rsid w:val="29530A10"/>
    <w:rsid w:val="296454D9"/>
    <w:rsid w:val="29735307"/>
    <w:rsid w:val="29AF726C"/>
    <w:rsid w:val="29B85A10"/>
    <w:rsid w:val="29C160E4"/>
    <w:rsid w:val="29C51250"/>
    <w:rsid w:val="29E12C73"/>
    <w:rsid w:val="29F16A53"/>
    <w:rsid w:val="2A036B4B"/>
    <w:rsid w:val="2A07149D"/>
    <w:rsid w:val="2A486164"/>
    <w:rsid w:val="2A4E0999"/>
    <w:rsid w:val="2A8E08C0"/>
    <w:rsid w:val="2AA97C78"/>
    <w:rsid w:val="2AAD4C76"/>
    <w:rsid w:val="2ACF2B5F"/>
    <w:rsid w:val="2AD43EE8"/>
    <w:rsid w:val="2AF85AF2"/>
    <w:rsid w:val="2B0371C1"/>
    <w:rsid w:val="2B2A187C"/>
    <w:rsid w:val="2B2F2573"/>
    <w:rsid w:val="2B365F31"/>
    <w:rsid w:val="2B3F1ECA"/>
    <w:rsid w:val="2B3F2B72"/>
    <w:rsid w:val="2B603178"/>
    <w:rsid w:val="2B6425A3"/>
    <w:rsid w:val="2B65629A"/>
    <w:rsid w:val="2B8652D4"/>
    <w:rsid w:val="2BA33286"/>
    <w:rsid w:val="2BC21EB0"/>
    <w:rsid w:val="2BDB0E8F"/>
    <w:rsid w:val="2C003DEA"/>
    <w:rsid w:val="2C1E5653"/>
    <w:rsid w:val="2C4113FD"/>
    <w:rsid w:val="2C4A4F88"/>
    <w:rsid w:val="2C5235DB"/>
    <w:rsid w:val="2C535466"/>
    <w:rsid w:val="2C6F3622"/>
    <w:rsid w:val="2C7F5CD6"/>
    <w:rsid w:val="2C885C5B"/>
    <w:rsid w:val="2C9E3943"/>
    <w:rsid w:val="2CAA4D38"/>
    <w:rsid w:val="2CB53BD2"/>
    <w:rsid w:val="2CC70D0D"/>
    <w:rsid w:val="2D160EC1"/>
    <w:rsid w:val="2D196BCF"/>
    <w:rsid w:val="2D240DB7"/>
    <w:rsid w:val="2D2F34AA"/>
    <w:rsid w:val="2D3C5C8A"/>
    <w:rsid w:val="2DA33649"/>
    <w:rsid w:val="2DA90E8C"/>
    <w:rsid w:val="2DBA3755"/>
    <w:rsid w:val="2DC112C1"/>
    <w:rsid w:val="2DC7247D"/>
    <w:rsid w:val="2DD44EF6"/>
    <w:rsid w:val="2DE70165"/>
    <w:rsid w:val="2DE94EE4"/>
    <w:rsid w:val="2E0A62A7"/>
    <w:rsid w:val="2E1746EE"/>
    <w:rsid w:val="2E283C55"/>
    <w:rsid w:val="2E324929"/>
    <w:rsid w:val="2E4121CD"/>
    <w:rsid w:val="2E8E575A"/>
    <w:rsid w:val="2E92741B"/>
    <w:rsid w:val="2EB33AB1"/>
    <w:rsid w:val="2EB43E24"/>
    <w:rsid w:val="2EF43911"/>
    <w:rsid w:val="2EFD5B2B"/>
    <w:rsid w:val="2F1C4BAB"/>
    <w:rsid w:val="2F215FCF"/>
    <w:rsid w:val="2F315B75"/>
    <w:rsid w:val="2F433D5F"/>
    <w:rsid w:val="2F6A689D"/>
    <w:rsid w:val="2F7D281A"/>
    <w:rsid w:val="2F88486A"/>
    <w:rsid w:val="2F9505BD"/>
    <w:rsid w:val="2FA368B4"/>
    <w:rsid w:val="2FB5520A"/>
    <w:rsid w:val="2FF250D8"/>
    <w:rsid w:val="2FF33082"/>
    <w:rsid w:val="30423432"/>
    <w:rsid w:val="30647650"/>
    <w:rsid w:val="30886E47"/>
    <w:rsid w:val="308A792C"/>
    <w:rsid w:val="308F2BFD"/>
    <w:rsid w:val="30CB1F1F"/>
    <w:rsid w:val="30CF0628"/>
    <w:rsid w:val="30D37B54"/>
    <w:rsid w:val="30EE3012"/>
    <w:rsid w:val="30EE732C"/>
    <w:rsid w:val="30F62BB1"/>
    <w:rsid w:val="30F80ED8"/>
    <w:rsid w:val="31185E14"/>
    <w:rsid w:val="3127739D"/>
    <w:rsid w:val="312D7AD5"/>
    <w:rsid w:val="313A38D6"/>
    <w:rsid w:val="313F7CDB"/>
    <w:rsid w:val="31413B4B"/>
    <w:rsid w:val="3141516A"/>
    <w:rsid w:val="318136B5"/>
    <w:rsid w:val="31902D03"/>
    <w:rsid w:val="31A34476"/>
    <w:rsid w:val="31DA7D18"/>
    <w:rsid w:val="321E5B5B"/>
    <w:rsid w:val="323D2DF5"/>
    <w:rsid w:val="324001BA"/>
    <w:rsid w:val="32410D3F"/>
    <w:rsid w:val="32564BC7"/>
    <w:rsid w:val="3271134D"/>
    <w:rsid w:val="32731503"/>
    <w:rsid w:val="32D21D2D"/>
    <w:rsid w:val="32D5044D"/>
    <w:rsid w:val="3305777B"/>
    <w:rsid w:val="331E6841"/>
    <w:rsid w:val="332A3B8A"/>
    <w:rsid w:val="332C46AF"/>
    <w:rsid w:val="334415FF"/>
    <w:rsid w:val="33566F24"/>
    <w:rsid w:val="33590A4D"/>
    <w:rsid w:val="335A0365"/>
    <w:rsid w:val="335A099C"/>
    <w:rsid w:val="33817A2D"/>
    <w:rsid w:val="33891ECF"/>
    <w:rsid w:val="33B3208C"/>
    <w:rsid w:val="33C975E0"/>
    <w:rsid w:val="33EA584E"/>
    <w:rsid w:val="33F15D56"/>
    <w:rsid w:val="33F22A5F"/>
    <w:rsid w:val="343267B4"/>
    <w:rsid w:val="34383424"/>
    <w:rsid w:val="34387BD0"/>
    <w:rsid w:val="343C6E6E"/>
    <w:rsid w:val="344C154B"/>
    <w:rsid w:val="345672AF"/>
    <w:rsid w:val="347A6D78"/>
    <w:rsid w:val="34834C6B"/>
    <w:rsid w:val="34A86616"/>
    <w:rsid w:val="34F31B31"/>
    <w:rsid w:val="35020BB7"/>
    <w:rsid w:val="351A41A6"/>
    <w:rsid w:val="35232EBE"/>
    <w:rsid w:val="3528130A"/>
    <w:rsid w:val="35333550"/>
    <w:rsid w:val="3566307E"/>
    <w:rsid w:val="356C08AB"/>
    <w:rsid w:val="35731CE9"/>
    <w:rsid w:val="357F1F98"/>
    <w:rsid w:val="35893553"/>
    <w:rsid w:val="358A3EE5"/>
    <w:rsid w:val="35BE0583"/>
    <w:rsid w:val="35C16142"/>
    <w:rsid w:val="35D273E1"/>
    <w:rsid w:val="35D42949"/>
    <w:rsid w:val="35DF1C89"/>
    <w:rsid w:val="35E33DEB"/>
    <w:rsid w:val="35E90EB9"/>
    <w:rsid w:val="35F0707F"/>
    <w:rsid w:val="362A4865"/>
    <w:rsid w:val="36500D46"/>
    <w:rsid w:val="365625C0"/>
    <w:rsid w:val="3674273E"/>
    <w:rsid w:val="36A15F03"/>
    <w:rsid w:val="36A83D20"/>
    <w:rsid w:val="36AB17CA"/>
    <w:rsid w:val="36C6707D"/>
    <w:rsid w:val="36CA45D1"/>
    <w:rsid w:val="36DB4D31"/>
    <w:rsid w:val="36E27D89"/>
    <w:rsid w:val="36F626DC"/>
    <w:rsid w:val="37032C5E"/>
    <w:rsid w:val="371B0A8F"/>
    <w:rsid w:val="373531D7"/>
    <w:rsid w:val="374B17ED"/>
    <w:rsid w:val="37666A93"/>
    <w:rsid w:val="3768417A"/>
    <w:rsid w:val="378D4FE9"/>
    <w:rsid w:val="379A422A"/>
    <w:rsid w:val="37A366DF"/>
    <w:rsid w:val="3800088B"/>
    <w:rsid w:val="381537D7"/>
    <w:rsid w:val="381943B5"/>
    <w:rsid w:val="3826343F"/>
    <w:rsid w:val="3830746D"/>
    <w:rsid w:val="38531949"/>
    <w:rsid w:val="388C47C3"/>
    <w:rsid w:val="38927D93"/>
    <w:rsid w:val="38A41A93"/>
    <w:rsid w:val="38A940EF"/>
    <w:rsid w:val="38E21E25"/>
    <w:rsid w:val="38E72645"/>
    <w:rsid w:val="38E86CDB"/>
    <w:rsid w:val="390C4AFC"/>
    <w:rsid w:val="39443391"/>
    <w:rsid w:val="398B3E9E"/>
    <w:rsid w:val="399636A1"/>
    <w:rsid w:val="39B41FF3"/>
    <w:rsid w:val="3A3B7E78"/>
    <w:rsid w:val="3A6B52C3"/>
    <w:rsid w:val="3A8A648D"/>
    <w:rsid w:val="3AA96B1F"/>
    <w:rsid w:val="3ACD56FE"/>
    <w:rsid w:val="3ACF1AA9"/>
    <w:rsid w:val="3ADA0DA7"/>
    <w:rsid w:val="3AF90C73"/>
    <w:rsid w:val="3B146BD4"/>
    <w:rsid w:val="3B304A07"/>
    <w:rsid w:val="3B4241FD"/>
    <w:rsid w:val="3B435F68"/>
    <w:rsid w:val="3B651FFD"/>
    <w:rsid w:val="3B710C7F"/>
    <w:rsid w:val="3B7F4152"/>
    <w:rsid w:val="3BA45199"/>
    <w:rsid w:val="3BC07FC7"/>
    <w:rsid w:val="3BCA48CE"/>
    <w:rsid w:val="3BCC36DC"/>
    <w:rsid w:val="3BDF0A8D"/>
    <w:rsid w:val="3BEC2115"/>
    <w:rsid w:val="3C191F29"/>
    <w:rsid w:val="3C630656"/>
    <w:rsid w:val="3C6D2757"/>
    <w:rsid w:val="3C943A36"/>
    <w:rsid w:val="3C9D70BB"/>
    <w:rsid w:val="3CAD626E"/>
    <w:rsid w:val="3CBA3A05"/>
    <w:rsid w:val="3CFE69B1"/>
    <w:rsid w:val="3D007983"/>
    <w:rsid w:val="3D11677C"/>
    <w:rsid w:val="3D5E6039"/>
    <w:rsid w:val="3D6E7CA4"/>
    <w:rsid w:val="3D8B167B"/>
    <w:rsid w:val="3D910BBA"/>
    <w:rsid w:val="3D955858"/>
    <w:rsid w:val="3D9B0C92"/>
    <w:rsid w:val="3D9C3E98"/>
    <w:rsid w:val="3DA010F1"/>
    <w:rsid w:val="3DA6590C"/>
    <w:rsid w:val="3DB9621F"/>
    <w:rsid w:val="3DC0640C"/>
    <w:rsid w:val="3DD971E8"/>
    <w:rsid w:val="3DF70541"/>
    <w:rsid w:val="3DFB57A0"/>
    <w:rsid w:val="3E282F4A"/>
    <w:rsid w:val="3E4A43DB"/>
    <w:rsid w:val="3E641EEC"/>
    <w:rsid w:val="3E6750F9"/>
    <w:rsid w:val="3E774DF9"/>
    <w:rsid w:val="3E854688"/>
    <w:rsid w:val="3E9133B4"/>
    <w:rsid w:val="3E955133"/>
    <w:rsid w:val="3EA07B49"/>
    <w:rsid w:val="3ED20513"/>
    <w:rsid w:val="3EEA0736"/>
    <w:rsid w:val="3F110AF5"/>
    <w:rsid w:val="3F2446E9"/>
    <w:rsid w:val="3F2522C5"/>
    <w:rsid w:val="3F3F0005"/>
    <w:rsid w:val="3F4A2090"/>
    <w:rsid w:val="3F4E0D59"/>
    <w:rsid w:val="3F4E64BE"/>
    <w:rsid w:val="3F4E7D5B"/>
    <w:rsid w:val="3F5011BD"/>
    <w:rsid w:val="3F673E98"/>
    <w:rsid w:val="3F6E71E8"/>
    <w:rsid w:val="3F7662E9"/>
    <w:rsid w:val="3F9A2140"/>
    <w:rsid w:val="3FA544DE"/>
    <w:rsid w:val="3FC06BBE"/>
    <w:rsid w:val="3FE46CE5"/>
    <w:rsid w:val="3FF262FE"/>
    <w:rsid w:val="40280AC5"/>
    <w:rsid w:val="403C5E60"/>
    <w:rsid w:val="403D669E"/>
    <w:rsid w:val="404D5F24"/>
    <w:rsid w:val="4051550B"/>
    <w:rsid w:val="405A255E"/>
    <w:rsid w:val="405A3C04"/>
    <w:rsid w:val="406B2B18"/>
    <w:rsid w:val="40C322BB"/>
    <w:rsid w:val="40C32456"/>
    <w:rsid w:val="40DE6901"/>
    <w:rsid w:val="41145405"/>
    <w:rsid w:val="419B2ABE"/>
    <w:rsid w:val="419F36A1"/>
    <w:rsid w:val="41AC118C"/>
    <w:rsid w:val="41B12725"/>
    <w:rsid w:val="41D51E59"/>
    <w:rsid w:val="41EE17F6"/>
    <w:rsid w:val="4205446C"/>
    <w:rsid w:val="420F35A1"/>
    <w:rsid w:val="421B19E8"/>
    <w:rsid w:val="421C0B02"/>
    <w:rsid w:val="42264AF2"/>
    <w:rsid w:val="422F61DD"/>
    <w:rsid w:val="426B5355"/>
    <w:rsid w:val="428A73E7"/>
    <w:rsid w:val="428A76DF"/>
    <w:rsid w:val="42BA65D4"/>
    <w:rsid w:val="42EB78AF"/>
    <w:rsid w:val="42FD10D3"/>
    <w:rsid w:val="430051EE"/>
    <w:rsid w:val="4304573F"/>
    <w:rsid w:val="43052C10"/>
    <w:rsid w:val="4324560D"/>
    <w:rsid w:val="432C4C29"/>
    <w:rsid w:val="43441C59"/>
    <w:rsid w:val="43853024"/>
    <w:rsid w:val="439E6E7D"/>
    <w:rsid w:val="43B17C70"/>
    <w:rsid w:val="43B53220"/>
    <w:rsid w:val="43BD5917"/>
    <w:rsid w:val="43E50657"/>
    <w:rsid w:val="44220D22"/>
    <w:rsid w:val="44381859"/>
    <w:rsid w:val="444B0C27"/>
    <w:rsid w:val="446B5E76"/>
    <w:rsid w:val="447504F0"/>
    <w:rsid w:val="44782D43"/>
    <w:rsid w:val="44A00745"/>
    <w:rsid w:val="44A6435C"/>
    <w:rsid w:val="44A759D0"/>
    <w:rsid w:val="44B13076"/>
    <w:rsid w:val="44C75716"/>
    <w:rsid w:val="44E41B50"/>
    <w:rsid w:val="450F1B99"/>
    <w:rsid w:val="45277C5A"/>
    <w:rsid w:val="452F2928"/>
    <w:rsid w:val="453369AC"/>
    <w:rsid w:val="453B2199"/>
    <w:rsid w:val="454B1223"/>
    <w:rsid w:val="45631795"/>
    <w:rsid w:val="457766C0"/>
    <w:rsid w:val="45AD51C6"/>
    <w:rsid w:val="45B15DB5"/>
    <w:rsid w:val="45DB6460"/>
    <w:rsid w:val="460862DD"/>
    <w:rsid w:val="46095B3A"/>
    <w:rsid w:val="460B35D8"/>
    <w:rsid w:val="461201BB"/>
    <w:rsid w:val="46262688"/>
    <w:rsid w:val="46343EFB"/>
    <w:rsid w:val="464642BF"/>
    <w:rsid w:val="464F0896"/>
    <w:rsid w:val="465044EC"/>
    <w:rsid w:val="468A5261"/>
    <w:rsid w:val="46907E7D"/>
    <w:rsid w:val="46A24BE1"/>
    <w:rsid w:val="46A823E1"/>
    <w:rsid w:val="46B80FE4"/>
    <w:rsid w:val="46C00653"/>
    <w:rsid w:val="46D771DF"/>
    <w:rsid w:val="46F50647"/>
    <w:rsid w:val="46F8285B"/>
    <w:rsid w:val="473F5452"/>
    <w:rsid w:val="474F0679"/>
    <w:rsid w:val="474F12CE"/>
    <w:rsid w:val="47611BBB"/>
    <w:rsid w:val="47636876"/>
    <w:rsid w:val="47673B7A"/>
    <w:rsid w:val="479B28F7"/>
    <w:rsid w:val="479D2C1E"/>
    <w:rsid w:val="47AF1674"/>
    <w:rsid w:val="47B47CDB"/>
    <w:rsid w:val="47D915E4"/>
    <w:rsid w:val="480435A1"/>
    <w:rsid w:val="481F6FC7"/>
    <w:rsid w:val="48266F66"/>
    <w:rsid w:val="484118F6"/>
    <w:rsid w:val="484D79DD"/>
    <w:rsid w:val="48556CF1"/>
    <w:rsid w:val="485C3403"/>
    <w:rsid w:val="489813B4"/>
    <w:rsid w:val="48E20D56"/>
    <w:rsid w:val="490838D1"/>
    <w:rsid w:val="493349C7"/>
    <w:rsid w:val="49413A5A"/>
    <w:rsid w:val="49A67337"/>
    <w:rsid w:val="49BE7401"/>
    <w:rsid w:val="49C34FAD"/>
    <w:rsid w:val="49EA1010"/>
    <w:rsid w:val="49FE11C3"/>
    <w:rsid w:val="4A10349F"/>
    <w:rsid w:val="4A74483C"/>
    <w:rsid w:val="4A990928"/>
    <w:rsid w:val="4A9D13A3"/>
    <w:rsid w:val="4AA521FF"/>
    <w:rsid w:val="4AAC501D"/>
    <w:rsid w:val="4ABF63BC"/>
    <w:rsid w:val="4AE03031"/>
    <w:rsid w:val="4AE57806"/>
    <w:rsid w:val="4AFD31A6"/>
    <w:rsid w:val="4B113D20"/>
    <w:rsid w:val="4B162F7C"/>
    <w:rsid w:val="4B294204"/>
    <w:rsid w:val="4B305F31"/>
    <w:rsid w:val="4B5653C3"/>
    <w:rsid w:val="4B5F4394"/>
    <w:rsid w:val="4B9A65D3"/>
    <w:rsid w:val="4BAC572A"/>
    <w:rsid w:val="4BBC7FDD"/>
    <w:rsid w:val="4BC24521"/>
    <w:rsid w:val="4BE73C16"/>
    <w:rsid w:val="4BF02AC7"/>
    <w:rsid w:val="4C072FAA"/>
    <w:rsid w:val="4C10569B"/>
    <w:rsid w:val="4C165D00"/>
    <w:rsid w:val="4C523FA5"/>
    <w:rsid w:val="4C6B6E46"/>
    <w:rsid w:val="4C6E02F4"/>
    <w:rsid w:val="4C801764"/>
    <w:rsid w:val="4C937952"/>
    <w:rsid w:val="4CC12F23"/>
    <w:rsid w:val="4CCB68D8"/>
    <w:rsid w:val="4CD83250"/>
    <w:rsid w:val="4CEC2B28"/>
    <w:rsid w:val="4D000A72"/>
    <w:rsid w:val="4D1E5B76"/>
    <w:rsid w:val="4D266082"/>
    <w:rsid w:val="4D4F6D7A"/>
    <w:rsid w:val="4D55476C"/>
    <w:rsid w:val="4D6862A5"/>
    <w:rsid w:val="4D931452"/>
    <w:rsid w:val="4DA06944"/>
    <w:rsid w:val="4DA87929"/>
    <w:rsid w:val="4DB05D74"/>
    <w:rsid w:val="4DB94A14"/>
    <w:rsid w:val="4DD07CB5"/>
    <w:rsid w:val="4E2D52E3"/>
    <w:rsid w:val="4E454209"/>
    <w:rsid w:val="4E5B2C22"/>
    <w:rsid w:val="4E812D73"/>
    <w:rsid w:val="4EB76B67"/>
    <w:rsid w:val="4EC833DC"/>
    <w:rsid w:val="4EC85994"/>
    <w:rsid w:val="4EDC4EAA"/>
    <w:rsid w:val="4EE3066F"/>
    <w:rsid w:val="4EF9243B"/>
    <w:rsid w:val="4EFD3826"/>
    <w:rsid w:val="4F044840"/>
    <w:rsid w:val="4F1F59EA"/>
    <w:rsid w:val="4F29480D"/>
    <w:rsid w:val="4F554835"/>
    <w:rsid w:val="4F6350F1"/>
    <w:rsid w:val="4F672D66"/>
    <w:rsid w:val="4F934BBF"/>
    <w:rsid w:val="4F972E2E"/>
    <w:rsid w:val="4FF31C79"/>
    <w:rsid w:val="500153BF"/>
    <w:rsid w:val="50076A33"/>
    <w:rsid w:val="50175942"/>
    <w:rsid w:val="501E08AE"/>
    <w:rsid w:val="504712AC"/>
    <w:rsid w:val="50B5591A"/>
    <w:rsid w:val="50BD42E6"/>
    <w:rsid w:val="50D91539"/>
    <w:rsid w:val="50ED0167"/>
    <w:rsid w:val="5106721D"/>
    <w:rsid w:val="510E302F"/>
    <w:rsid w:val="5120005C"/>
    <w:rsid w:val="51360CB9"/>
    <w:rsid w:val="51391428"/>
    <w:rsid w:val="51601851"/>
    <w:rsid w:val="51674400"/>
    <w:rsid w:val="51A90964"/>
    <w:rsid w:val="51BA5C09"/>
    <w:rsid w:val="51C15DDA"/>
    <w:rsid w:val="51C33EA1"/>
    <w:rsid w:val="51CD719A"/>
    <w:rsid w:val="51D5420B"/>
    <w:rsid w:val="51F526DF"/>
    <w:rsid w:val="51FD52F7"/>
    <w:rsid w:val="5206317B"/>
    <w:rsid w:val="521521EC"/>
    <w:rsid w:val="5220058A"/>
    <w:rsid w:val="522A56C5"/>
    <w:rsid w:val="525174E5"/>
    <w:rsid w:val="525270AA"/>
    <w:rsid w:val="528363D9"/>
    <w:rsid w:val="528454C4"/>
    <w:rsid w:val="528D78EB"/>
    <w:rsid w:val="529A05A6"/>
    <w:rsid w:val="52A20751"/>
    <w:rsid w:val="52B17D7D"/>
    <w:rsid w:val="52D0054B"/>
    <w:rsid w:val="53035674"/>
    <w:rsid w:val="53122552"/>
    <w:rsid w:val="532A7CD9"/>
    <w:rsid w:val="533442F2"/>
    <w:rsid w:val="533E0541"/>
    <w:rsid w:val="534652B2"/>
    <w:rsid w:val="53482938"/>
    <w:rsid w:val="535063B7"/>
    <w:rsid w:val="5370533E"/>
    <w:rsid w:val="537447BD"/>
    <w:rsid w:val="539B3575"/>
    <w:rsid w:val="53A02CB1"/>
    <w:rsid w:val="53B509CC"/>
    <w:rsid w:val="53C82951"/>
    <w:rsid w:val="53D47F6B"/>
    <w:rsid w:val="53D8113D"/>
    <w:rsid w:val="53DD54F4"/>
    <w:rsid w:val="53FD3D2C"/>
    <w:rsid w:val="54087E1F"/>
    <w:rsid w:val="54104D41"/>
    <w:rsid w:val="541C0AB1"/>
    <w:rsid w:val="542B7FFB"/>
    <w:rsid w:val="54317E03"/>
    <w:rsid w:val="544D6B18"/>
    <w:rsid w:val="546A4E0F"/>
    <w:rsid w:val="547B0F6E"/>
    <w:rsid w:val="548255A9"/>
    <w:rsid w:val="54A71C7D"/>
    <w:rsid w:val="54B52C0D"/>
    <w:rsid w:val="54BA1F8E"/>
    <w:rsid w:val="54C51C44"/>
    <w:rsid w:val="54D0555F"/>
    <w:rsid w:val="54E0648F"/>
    <w:rsid w:val="54E719A5"/>
    <w:rsid w:val="54E96848"/>
    <w:rsid w:val="54F2701F"/>
    <w:rsid w:val="54F91A58"/>
    <w:rsid w:val="55195D24"/>
    <w:rsid w:val="55546ED7"/>
    <w:rsid w:val="55662CA5"/>
    <w:rsid w:val="557E7127"/>
    <w:rsid w:val="55A01EE9"/>
    <w:rsid w:val="55B11E46"/>
    <w:rsid w:val="55CA18DD"/>
    <w:rsid w:val="55D05FAF"/>
    <w:rsid w:val="56025B36"/>
    <w:rsid w:val="5628183F"/>
    <w:rsid w:val="563E448B"/>
    <w:rsid w:val="56422B6C"/>
    <w:rsid w:val="569F7AC6"/>
    <w:rsid w:val="56E83CAD"/>
    <w:rsid w:val="56EC5096"/>
    <w:rsid w:val="57167E2B"/>
    <w:rsid w:val="573A6BEE"/>
    <w:rsid w:val="574255EF"/>
    <w:rsid w:val="57494338"/>
    <w:rsid w:val="574A6408"/>
    <w:rsid w:val="578A2C07"/>
    <w:rsid w:val="578D7977"/>
    <w:rsid w:val="579137D6"/>
    <w:rsid w:val="57A30928"/>
    <w:rsid w:val="57C8262B"/>
    <w:rsid w:val="57C922BA"/>
    <w:rsid w:val="57DF2BEE"/>
    <w:rsid w:val="5819558C"/>
    <w:rsid w:val="58282763"/>
    <w:rsid w:val="584641F8"/>
    <w:rsid w:val="584648B4"/>
    <w:rsid w:val="58554017"/>
    <w:rsid w:val="585D558B"/>
    <w:rsid w:val="588B1FED"/>
    <w:rsid w:val="58A35115"/>
    <w:rsid w:val="58C57382"/>
    <w:rsid w:val="58CC2AC7"/>
    <w:rsid w:val="58DF7311"/>
    <w:rsid w:val="59185069"/>
    <w:rsid w:val="59513587"/>
    <w:rsid w:val="595A3ABD"/>
    <w:rsid w:val="59714FF2"/>
    <w:rsid w:val="59966B61"/>
    <w:rsid w:val="599B7E95"/>
    <w:rsid w:val="59EC450B"/>
    <w:rsid w:val="5A126995"/>
    <w:rsid w:val="5A1E55AD"/>
    <w:rsid w:val="5A2A6BFE"/>
    <w:rsid w:val="5A6951BA"/>
    <w:rsid w:val="5A851D8E"/>
    <w:rsid w:val="5A88183C"/>
    <w:rsid w:val="5ABD1776"/>
    <w:rsid w:val="5AE063B2"/>
    <w:rsid w:val="5AFE1991"/>
    <w:rsid w:val="5B047F02"/>
    <w:rsid w:val="5B236E73"/>
    <w:rsid w:val="5B281551"/>
    <w:rsid w:val="5B2C2AE0"/>
    <w:rsid w:val="5B2E41ED"/>
    <w:rsid w:val="5B3D6206"/>
    <w:rsid w:val="5B3E41AA"/>
    <w:rsid w:val="5B5A6BCD"/>
    <w:rsid w:val="5B5E2CA8"/>
    <w:rsid w:val="5B867815"/>
    <w:rsid w:val="5B906046"/>
    <w:rsid w:val="5BCD2EA2"/>
    <w:rsid w:val="5BCD3286"/>
    <w:rsid w:val="5BD37A01"/>
    <w:rsid w:val="5BDD7214"/>
    <w:rsid w:val="5C922DCC"/>
    <w:rsid w:val="5CA6690C"/>
    <w:rsid w:val="5CB83CAA"/>
    <w:rsid w:val="5CCB13D7"/>
    <w:rsid w:val="5CCC01F5"/>
    <w:rsid w:val="5CE5179C"/>
    <w:rsid w:val="5D0956F3"/>
    <w:rsid w:val="5D2306C6"/>
    <w:rsid w:val="5D5E3428"/>
    <w:rsid w:val="5D5F1C3E"/>
    <w:rsid w:val="5D77547F"/>
    <w:rsid w:val="5D83020D"/>
    <w:rsid w:val="5D867921"/>
    <w:rsid w:val="5D8B0076"/>
    <w:rsid w:val="5D9B3CB1"/>
    <w:rsid w:val="5DCF2975"/>
    <w:rsid w:val="5DD10A9B"/>
    <w:rsid w:val="5DE9277F"/>
    <w:rsid w:val="5E1A600E"/>
    <w:rsid w:val="5E30178D"/>
    <w:rsid w:val="5E316C7C"/>
    <w:rsid w:val="5E406783"/>
    <w:rsid w:val="5E7E5E32"/>
    <w:rsid w:val="5ECB0E9D"/>
    <w:rsid w:val="5EE43E31"/>
    <w:rsid w:val="5F114F9F"/>
    <w:rsid w:val="5F140919"/>
    <w:rsid w:val="5F157D86"/>
    <w:rsid w:val="5F1C6644"/>
    <w:rsid w:val="5F2C3FAA"/>
    <w:rsid w:val="5F60139F"/>
    <w:rsid w:val="5F836E04"/>
    <w:rsid w:val="5FB35949"/>
    <w:rsid w:val="5FC74925"/>
    <w:rsid w:val="5FC77D05"/>
    <w:rsid w:val="5FCB05A0"/>
    <w:rsid w:val="5FDE2B4D"/>
    <w:rsid w:val="5FEC3B18"/>
    <w:rsid w:val="5FFA74BB"/>
    <w:rsid w:val="60012AD9"/>
    <w:rsid w:val="60167545"/>
    <w:rsid w:val="602F7923"/>
    <w:rsid w:val="603D5276"/>
    <w:rsid w:val="604A7F97"/>
    <w:rsid w:val="60972A01"/>
    <w:rsid w:val="609B1272"/>
    <w:rsid w:val="60AC59D5"/>
    <w:rsid w:val="60FB34E4"/>
    <w:rsid w:val="612B4EB1"/>
    <w:rsid w:val="613A097D"/>
    <w:rsid w:val="615C539D"/>
    <w:rsid w:val="616E67BA"/>
    <w:rsid w:val="61794110"/>
    <w:rsid w:val="618A3CE2"/>
    <w:rsid w:val="619E4EE6"/>
    <w:rsid w:val="61C75E25"/>
    <w:rsid w:val="61E16B9B"/>
    <w:rsid w:val="62060083"/>
    <w:rsid w:val="621D465B"/>
    <w:rsid w:val="62281468"/>
    <w:rsid w:val="624B3E4B"/>
    <w:rsid w:val="624E1C01"/>
    <w:rsid w:val="62592C35"/>
    <w:rsid w:val="625C1BFA"/>
    <w:rsid w:val="62601E2D"/>
    <w:rsid w:val="6271167C"/>
    <w:rsid w:val="62740DD9"/>
    <w:rsid w:val="627B0AF9"/>
    <w:rsid w:val="6285188B"/>
    <w:rsid w:val="628D3DA0"/>
    <w:rsid w:val="629F00E2"/>
    <w:rsid w:val="62E20525"/>
    <w:rsid w:val="62FA4EBA"/>
    <w:rsid w:val="62FC225B"/>
    <w:rsid w:val="63082FCE"/>
    <w:rsid w:val="630E6948"/>
    <w:rsid w:val="631E04EE"/>
    <w:rsid w:val="63231B5C"/>
    <w:rsid w:val="632B5C1A"/>
    <w:rsid w:val="633A14D0"/>
    <w:rsid w:val="634E7568"/>
    <w:rsid w:val="635125F0"/>
    <w:rsid w:val="63515D3B"/>
    <w:rsid w:val="63693F5F"/>
    <w:rsid w:val="636F5041"/>
    <w:rsid w:val="63756B53"/>
    <w:rsid w:val="63776B17"/>
    <w:rsid w:val="637E293C"/>
    <w:rsid w:val="63A222BA"/>
    <w:rsid w:val="63B97C4B"/>
    <w:rsid w:val="63D50B94"/>
    <w:rsid w:val="64300156"/>
    <w:rsid w:val="643F0097"/>
    <w:rsid w:val="644E1A27"/>
    <w:rsid w:val="646B45C4"/>
    <w:rsid w:val="64835A6E"/>
    <w:rsid w:val="648D764A"/>
    <w:rsid w:val="64972FE0"/>
    <w:rsid w:val="64C966AF"/>
    <w:rsid w:val="64E0072F"/>
    <w:rsid w:val="65024AAA"/>
    <w:rsid w:val="651314BF"/>
    <w:rsid w:val="65175CCB"/>
    <w:rsid w:val="65805412"/>
    <w:rsid w:val="658A1252"/>
    <w:rsid w:val="658D0F6F"/>
    <w:rsid w:val="6594521A"/>
    <w:rsid w:val="65BD0ADC"/>
    <w:rsid w:val="65BD1B97"/>
    <w:rsid w:val="65C41307"/>
    <w:rsid w:val="65F72E91"/>
    <w:rsid w:val="65FC13C4"/>
    <w:rsid w:val="66194F4A"/>
    <w:rsid w:val="6640636B"/>
    <w:rsid w:val="66474307"/>
    <w:rsid w:val="666631F4"/>
    <w:rsid w:val="66781002"/>
    <w:rsid w:val="66811169"/>
    <w:rsid w:val="66975F62"/>
    <w:rsid w:val="66A52DD4"/>
    <w:rsid w:val="66AA2445"/>
    <w:rsid w:val="66AB56BC"/>
    <w:rsid w:val="66BA2F02"/>
    <w:rsid w:val="66EC4640"/>
    <w:rsid w:val="66FB278B"/>
    <w:rsid w:val="673D4DE3"/>
    <w:rsid w:val="674D35DC"/>
    <w:rsid w:val="677169D3"/>
    <w:rsid w:val="67A6748D"/>
    <w:rsid w:val="67DF278C"/>
    <w:rsid w:val="680A058E"/>
    <w:rsid w:val="6823006B"/>
    <w:rsid w:val="682E6EC7"/>
    <w:rsid w:val="684A544E"/>
    <w:rsid w:val="68684057"/>
    <w:rsid w:val="687D1959"/>
    <w:rsid w:val="689417F5"/>
    <w:rsid w:val="68A6598C"/>
    <w:rsid w:val="68AC5A6A"/>
    <w:rsid w:val="68E34E7B"/>
    <w:rsid w:val="690549C5"/>
    <w:rsid w:val="6914259D"/>
    <w:rsid w:val="69691B6E"/>
    <w:rsid w:val="697F0869"/>
    <w:rsid w:val="699E2D43"/>
    <w:rsid w:val="69AB0294"/>
    <w:rsid w:val="69BB35AE"/>
    <w:rsid w:val="69CF4D89"/>
    <w:rsid w:val="6A085911"/>
    <w:rsid w:val="6A233773"/>
    <w:rsid w:val="6A3D15CC"/>
    <w:rsid w:val="6A73716E"/>
    <w:rsid w:val="6A76409B"/>
    <w:rsid w:val="6A860F81"/>
    <w:rsid w:val="6A921E87"/>
    <w:rsid w:val="6A9450C6"/>
    <w:rsid w:val="6A9933BB"/>
    <w:rsid w:val="6AA75A52"/>
    <w:rsid w:val="6AAD7B06"/>
    <w:rsid w:val="6AB95869"/>
    <w:rsid w:val="6ABA1322"/>
    <w:rsid w:val="6ABB40A8"/>
    <w:rsid w:val="6AC13F73"/>
    <w:rsid w:val="6AC56546"/>
    <w:rsid w:val="6AEC0543"/>
    <w:rsid w:val="6AED3F84"/>
    <w:rsid w:val="6AF041B7"/>
    <w:rsid w:val="6B0A20E2"/>
    <w:rsid w:val="6B147F37"/>
    <w:rsid w:val="6B436E48"/>
    <w:rsid w:val="6B4E583A"/>
    <w:rsid w:val="6B591831"/>
    <w:rsid w:val="6B6525D9"/>
    <w:rsid w:val="6B7934BB"/>
    <w:rsid w:val="6B7E0AE3"/>
    <w:rsid w:val="6B82538D"/>
    <w:rsid w:val="6B857CBD"/>
    <w:rsid w:val="6B8B08C1"/>
    <w:rsid w:val="6B95574C"/>
    <w:rsid w:val="6B992FB9"/>
    <w:rsid w:val="6B9E4298"/>
    <w:rsid w:val="6BA608E8"/>
    <w:rsid w:val="6BDA416B"/>
    <w:rsid w:val="6BF17741"/>
    <w:rsid w:val="6C0A3CE9"/>
    <w:rsid w:val="6C0A4590"/>
    <w:rsid w:val="6C123D74"/>
    <w:rsid w:val="6C24309A"/>
    <w:rsid w:val="6C527CD6"/>
    <w:rsid w:val="6C6F327F"/>
    <w:rsid w:val="6C723D9C"/>
    <w:rsid w:val="6C787351"/>
    <w:rsid w:val="6C8F4E25"/>
    <w:rsid w:val="6CAB07A8"/>
    <w:rsid w:val="6CD011EE"/>
    <w:rsid w:val="6CD04F1D"/>
    <w:rsid w:val="6CDF75F0"/>
    <w:rsid w:val="6CE020E9"/>
    <w:rsid w:val="6CE516D5"/>
    <w:rsid w:val="6CF72D8D"/>
    <w:rsid w:val="6D11166E"/>
    <w:rsid w:val="6D4D4838"/>
    <w:rsid w:val="6D7144FA"/>
    <w:rsid w:val="6D920941"/>
    <w:rsid w:val="6DB92CC7"/>
    <w:rsid w:val="6DDE2BD0"/>
    <w:rsid w:val="6DF6462C"/>
    <w:rsid w:val="6E022E30"/>
    <w:rsid w:val="6E07377B"/>
    <w:rsid w:val="6E204590"/>
    <w:rsid w:val="6E300A8F"/>
    <w:rsid w:val="6E3B7A9A"/>
    <w:rsid w:val="6E435952"/>
    <w:rsid w:val="6E5650FB"/>
    <w:rsid w:val="6E5C3E40"/>
    <w:rsid w:val="6E7F089E"/>
    <w:rsid w:val="6EAE2D24"/>
    <w:rsid w:val="6EB45579"/>
    <w:rsid w:val="6EC10EF7"/>
    <w:rsid w:val="6ED516D9"/>
    <w:rsid w:val="6ED93F95"/>
    <w:rsid w:val="6EE60A5F"/>
    <w:rsid w:val="6F0830E0"/>
    <w:rsid w:val="6F093A7E"/>
    <w:rsid w:val="6F253B2A"/>
    <w:rsid w:val="6F3B15FB"/>
    <w:rsid w:val="6F6876AF"/>
    <w:rsid w:val="6F861B6A"/>
    <w:rsid w:val="6F8B3A4A"/>
    <w:rsid w:val="6FA019A1"/>
    <w:rsid w:val="6FA222EA"/>
    <w:rsid w:val="6FEF290D"/>
    <w:rsid w:val="6FF24147"/>
    <w:rsid w:val="6FF52433"/>
    <w:rsid w:val="70080058"/>
    <w:rsid w:val="700B3D80"/>
    <w:rsid w:val="700B487B"/>
    <w:rsid w:val="701063D3"/>
    <w:rsid w:val="702D55D5"/>
    <w:rsid w:val="702E7640"/>
    <w:rsid w:val="7036313E"/>
    <w:rsid w:val="703939B3"/>
    <w:rsid w:val="703A5B7C"/>
    <w:rsid w:val="703B56B6"/>
    <w:rsid w:val="704C0F24"/>
    <w:rsid w:val="70607177"/>
    <w:rsid w:val="706B116B"/>
    <w:rsid w:val="70706AE0"/>
    <w:rsid w:val="708007B8"/>
    <w:rsid w:val="708B0C4C"/>
    <w:rsid w:val="709250B4"/>
    <w:rsid w:val="70BF6167"/>
    <w:rsid w:val="710D271D"/>
    <w:rsid w:val="71104690"/>
    <w:rsid w:val="713E53CF"/>
    <w:rsid w:val="715E4AD8"/>
    <w:rsid w:val="716C2EAC"/>
    <w:rsid w:val="71753CA0"/>
    <w:rsid w:val="718B313A"/>
    <w:rsid w:val="71A4403C"/>
    <w:rsid w:val="71A8786A"/>
    <w:rsid w:val="71C17FAA"/>
    <w:rsid w:val="71D315D4"/>
    <w:rsid w:val="71E42543"/>
    <w:rsid w:val="72280CD6"/>
    <w:rsid w:val="72326CD5"/>
    <w:rsid w:val="72333C03"/>
    <w:rsid w:val="72335517"/>
    <w:rsid w:val="72525513"/>
    <w:rsid w:val="726231F3"/>
    <w:rsid w:val="72674561"/>
    <w:rsid w:val="72704F54"/>
    <w:rsid w:val="729A2D98"/>
    <w:rsid w:val="72A31608"/>
    <w:rsid w:val="72AD150D"/>
    <w:rsid w:val="72D96DF8"/>
    <w:rsid w:val="72EA2BBC"/>
    <w:rsid w:val="73026267"/>
    <w:rsid w:val="730D1F9A"/>
    <w:rsid w:val="734B2AD1"/>
    <w:rsid w:val="73530420"/>
    <w:rsid w:val="73545958"/>
    <w:rsid w:val="73771FB2"/>
    <w:rsid w:val="737F5E77"/>
    <w:rsid w:val="73A3257E"/>
    <w:rsid w:val="73A4352F"/>
    <w:rsid w:val="73CA02AC"/>
    <w:rsid w:val="73D0094B"/>
    <w:rsid w:val="73DA43F5"/>
    <w:rsid w:val="73FE1247"/>
    <w:rsid w:val="740B6019"/>
    <w:rsid w:val="74140F58"/>
    <w:rsid w:val="74362C51"/>
    <w:rsid w:val="743B202C"/>
    <w:rsid w:val="743D71AD"/>
    <w:rsid w:val="7445073C"/>
    <w:rsid w:val="744E44F8"/>
    <w:rsid w:val="745A7836"/>
    <w:rsid w:val="74761FF8"/>
    <w:rsid w:val="747F69C8"/>
    <w:rsid w:val="748A786D"/>
    <w:rsid w:val="74993256"/>
    <w:rsid w:val="74A24E96"/>
    <w:rsid w:val="74AF08EF"/>
    <w:rsid w:val="74B12BB6"/>
    <w:rsid w:val="74C96B8A"/>
    <w:rsid w:val="74D11F68"/>
    <w:rsid w:val="74D5012C"/>
    <w:rsid w:val="74FD6C74"/>
    <w:rsid w:val="751B4E69"/>
    <w:rsid w:val="75292E15"/>
    <w:rsid w:val="75476558"/>
    <w:rsid w:val="755A0675"/>
    <w:rsid w:val="755E5119"/>
    <w:rsid w:val="759A606E"/>
    <w:rsid w:val="75A81B4E"/>
    <w:rsid w:val="75BD0206"/>
    <w:rsid w:val="75C10F58"/>
    <w:rsid w:val="75D707BE"/>
    <w:rsid w:val="75EB3253"/>
    <w:rsid w:val="761C65CE"/>
    <w:rsid w:val="7624541B"/>
    <w:rsid w:val="762F5AE5"/>
    <w:rsid w:val="7637512A"/>
    <w:rsid w:val="763B3EE1"/>
    <w:rsid w:val="76445B08"/>
    <w:rsid w:val="764765DB"/>
    <w:rsid w:val="7649640E"/>
    <w:rsid w:val="76580ABD"/>
    <w:rsid w:val="76583940"/>
    <w:rsid w:val="767851BA"/>
    <w:rsid w:val="768378BD"/>
    <w:rsid w:val="76875C56"/>
    <w:rsid w:val="76A60E5F"/>
    <w:rsid w:val="76B36BFC"/>
    <w:rsid w:val="76CD0B17"/>
    <w:rsid w:val="76DE173C"/>
    <w:rsid w:val="770B083E"/>
    <w:rsid w:val="77260B51"/>
    <w:rsid w:val="772E3B59"/>
    <w:rsid w:val="7732408E"/>
    <w:rsid w:val="773551E9"/>
    <w:rsid w:val="773E1930"/>
    <w:rsid w:val="77422942"/>
    <w:rsid w:val="776578BC"/>
    <w:rsid w:val="776E2066"/>
    <w:rsid w:val="777876BF"/>
    <w:rsid w:val="77A305D9"/>
    <w:rsid w:val="77C9556C"/>
    <w:rsid w:val="77DA1315"/>
    <w:rsid w:val="78030CA7"/>
    <w:rsid w:val="780434BC"/>
    <w:rsid w:val="785E1E90"/>
    <w:rsid w:val="786117D6"/>
    <w:rsid w:val="78A4083E"/>
    <w:rsid w:val="78AD0FC0"/>
    <w:rsid w:val="78C71FEA"/>
    <w:rsid w:val="78E033CC"/>
    <w:rsid w:val="78E84613"/>
    <w:rsid w:val="790D6F67"/>
    <w:rsid w:val="793F6843"/>
    <w:rsid w:val="7986514D"/>
    <w:rsid w:val="798D05F2"/>
    <w:rsid w:val="79933DEF"/>
    <w:rsid w:val="79B53C71"/>
    <w:rsid w:val="79DD331D"/>
    <w:rsid w:val="7A0207B5"/>
    <w:rsid w:val="7A192EFE"/>
    <w:rsid w:val="7A1A669E"/>
    <w:rsid w:val="7A310EF5"/>
    <w:rsid w:val="7A3E7583"/>
    <w:rsid w:val="7A576BC2"/>
    <w:rsid w:val="7A5A15A2"/>
    <w:rsid w:val="7A691054"/>
    <w:rsid w:val="7A6D4C66"/>
    <w:rsid w:val="7A8236CF"/>
    <w:rsid w:val="7A91147C"/>
    <w:rsid w:val="7AA337F3"/>
    <w:rsid w:val="7AA7239F"/>
    <w:rsid w:val="7AA942BE"/>
    <w:rsid w:val="7AAA75E5"/>
    <w:rsid w:val="7AB80538"/>
    <w:rsid w:val="7ABE7AC9"/>
    <w:rsid w:val="7AC00619"/>
    <w:rsid w:val="7AC04AAE"/>
    <w:rsid w:val="7ADF653A"/>
    <w:rsid w:val="7B0D6CD2"/>
    <w:rsid w:val="7B1F62E2"/>
    <w:rsid w:val="7B252D8D"/>
    <w:rsid w:val="7B324EDF"/>
    <w:rsid w:val="7B757C0B"/>
    <w:rsid w:val="7B777851"/>
    <w:rsid w:val="7B9217A8"/>
    <w:rsid w:val="7BBF14C5"/>
    <w:rsid w:val="7BCC4E1B"/>
    <w:rsid w:val="7BE35687"/>
    <w:rsid w:val="7BE37133"/>
    <w:rsid w:val="7BEA0F4A"/>
    <w:rsid w:val="7BEE06BC"/>
    <w:rsid w:val="7BFD7B30"/>
    <w:rsid w:val="7C166E64"/>
    <w:rsid w:val="7C3F705F"/>
    <w:rsid w:val="7C5765AD"/>
    <w:rsid w:val="7C5C185F"/>
    <w:rsid w:val="7C6445FC"/>
    <w:rsid w:val="7C6E7CF5"/>
    <w:rsid w:val="7C730436"/>
    <w:rsid w:val="7CA33962"/>
    <w:rsid w:val="7CA4710C"/>
    <w:rsid w:val="7CCC417A"/>
    <w:rsid w:val="7CEC4A41"/>
    <w:rsid w:val="7CFB7EC7"/>
    <w:rsid w:val="7CFC329E"/>
    <w:rsid w:val="7D1B36DE"/>
    <w:rsid w:val="7D2A74B6"/>
    <w:rsid w:val="7D4D1CAA"/>
    <w:rsid w:val="7D774F37"/>
    <w:rsid w:val="7DCF2F9B"/>
    <w:rsid w:val="7DF233E6"/>
    <w:rsid w:val="7DF52257"/>
    <w:rsid w:val="7E0137B0"/>
    <w:rsid w:val="7E42489E"/>
    <w:rsid w:val="7E635D52"/>
    <w:rsid w:val="7E660960"/>
    <w:rsid w:val="7E72516C"/>
    <w:rsid w:val="7E884BAA"/>
    <w:rsid w:val="7E8B68AD"/>
    <w:rsid w:val="7E937883"/>
    <w:rsid w:val="7EA15D73"/>
    <w:rsid w:val="7EC65B1C"/>
    <w:rsid w:val="7ED870C2"/>
    <w:rsid w:val="7EEC239B"/>
    <w:rsid w:val="7EFB6962"/>
    <w:rsid w:val="7F701A8C"/>
    <w:rsid w:val="7F8126FA"/>
    <w:rsid w:val="7F893151"/>
    <w:rsid w:val="7FD27FCA"/>
    <w:rsid w:val="7FDE7ACF"/>
    <w:rsid w:val="7FDF451C"/>
    <w:rsid w:val="7FE977D8"/>
    <w:rsid w:val="7FF8063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7">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before="214"/>
      <w:ind w:left="210"/>
    </w:pPr>
    <w:rPr>
      <w:rFonts w:ascii="仿宋" w:eastAsia="仿宋" w:cs="仿宋"/>
      <w:sz w:val="32"/>
      <w:szCs w:val="32"/>
      <w:lang w:val="zh-CN" w:eastAsia="zh-CN" w:bidi="zh-CN"/>
    </w:rPr>
  </w:style>
  <w:style w:type="paragraph" w:customStyle="1" w:styleId="3">
    <w:name w:val="_Style 2"/>
    <w:basedOn w:val="1"/>
    <w:next w:val="1"/>
    <w:qFormat/>
    <w:uiPriority w:val="99"/>
    <w:rPr>
      <w:szCs w:val="21"/>
    </w:rPr>
  </w:style>
  <w:style w:type="paragraph" w:styleId="8">
    <w:name w:val="toc 7"/>
    <w:basedOn w:val="1"/>
    <w:next w:val="1"/>
    <w:qFormat/>
    <w:uiPriority w:val="0"/>
    <w:pPr>
      <w:ind w:left="2520" w:leftChars="1200"/>
    </w:pPr>
  </w:style>
  <w:style w:type="paragraph" w:styleId="9">
    <w:name w:val="Normal Indent"/>
    <w:basedOn w:val="1"/>
    <w:qFormat/>
    <w:uiPriority w:val="0"/>
    <w:pPr>
      <w:ind w:firstLine="420" w:firstLineChars="200"/>
    </w:pPr>
    <w:rPr>
      <w:rFonts w:ascii="Times New Roman" w:hAnsi="Times New Roman" w:eastAsia="宋体"/>
      <w:sz w:val="20"/>
    </w:rPr>
  </w:style>
  <w:style w:type="paragraph" w:styleId="10">
    <w:name w:val="caption"/>
    <w:basedOn w:val="1"/>
    <w:next w:val="1"/>
    <w:unhideWhenUsed/>
    <w:qFormat/>
    <w:uiPriority w:val="0"/>
    <w:rPr>
      <w:rFonts w:ascii="Arial" w:hAnsi="Arial" w:eastAsia="黑体"/>
      <w:sz w:val="20"/>
    </w:rPr>
  </w:style>
  <w:style w:type="paragraph" w:styleId="11">
    <w:name w:val="Body Text Indent"/>
    <w:basedOn w:val="1"/>
    <w:next w:val="1"/>
    <w:qFormat/>
    <w:uiPriority w:val="0"/>
    <w:pPr>
      <w:ind w:firstLine="630"/>
    </w:pPr>
  </w:style>
  <w:style w:type="paragraph" w:styleId="12">
    <w:name w:val="toc 5"/>
    <w:basedOn w:val="1"/>
    <w:next w:val="1"/>
    <w:qFormat/>
    <w:uiPriority w:val="0"/>
    <w:pPr>
      <w:ind w:left="1680" w:leftChars="800"/>
    </w:pPr>
  </w:style>
  <w:style w:type="paragraph" w:styleId="13">
    <w:name w:val="toc 3"/>
    <w:basedOn w:val="1"/>
    <w:next w:val="1"/>
    <w:qFormat/>
    <w:uiPriority w:val="0"/>
    <w:pPr>
      <w:ind w:left="840" w:leftChars="400"/>
    </w:pPr>
  </w:style>
  <w:style w:type="paragraph" w:styleId="14">
    <w:name w:val="toc 8"/>
    <w:basedOn w:val="1"/>
    <w:next w:val="1"/>
    <w:qFormat/>
    <w:uiPriority w:val="0"/>
    <w:pPr>
      <w:ind w:left="2940" w:leftChars="1400"/>
    </w:pPr>
  </w:style>
  <w:style w:type="paragraph" w:styleId="15">
    <w:name w:val="footer"/>
    <w:basedOn w:val="1"/>
    <w:qFormat/>
    <w:uiPriority w:val="0"/>
    <w:pPr>
      <w:tabs>
        <w:tab w:val="center" w:pos="4153"/>
        <w:tab w:val="right" w:pos="8306"/>
      </w:tabs>
      <w:snapToGrid w:val="0"/>
      <w:jc w:val="left"/>
    </w:pPr>
    <w:rPr>
      <w:sz w:val="18"/>
      <w:szCs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paragraph" w:styleId="18">
    <w:name w:val="toc 4"/>
    <w:basedOn w:val="1"/>
    <w:next w:val="1"/>
    <w:qFormat/>
    <w:uiPriority w:val="0"/>
    <w:pPr>
      <w:ind w:left="1260" w:leftChars="600"/>
    </w:pPr>
  </w:style>
  <w:style w:type="paragraph" w:styleId="19">
    <w:name w:val="toc 6"/>
    <w:basedOn w:val="1"/>
    <w:next w:val="1"/>
    <w:qFormat/>
    <w:uiPriority w:val="0"/>
    <w:pPr>
      <w:ind w:left="2100" w:leftChars="1000"/>
    </w:pPr>
  </w:style>
  <w:style w:type="paragraph" w:styleId="20">
    <w:name w:val="table of figures"/>
    <w:basedOn w:val="1"/>
    <w:next w:val="1"/>
    <w:qFormat/>
    <w:uiPriority w:val="0"/>
    <w:pPr>
      <w:ind w:leftChars="200" w:hanging="200" w:hangingChars="200"/>
    </w:pPr>
  </w:style>
  <w:style w:type="paragraph" w:styleId="21">
    <w:name w:val="toc 2"/>
    <w:basedOn w:val="1"/>
    <w:next w:val="1"/>
    <w:qFormat/>
    <w:uiPriority w:val="0"/>
    <w:pPr>
      <w:ind w:left="420" w:leftChars="200"/>
    </w:pPr>
  </w:style>
  <w:style w:type="paragraph" w:styleId="22">
    <w:name w:val="toc 9"/>
    <w:basedOn w:val="1"/>
    <w:next w:val="1"/>
    <w:qFormat/>
    <w:uiPriority w:val="0"/>
    <w:pPr>
      <w:ind w:left="3360" w:leftChars="1600"/>
    </w:pPr>
  </w:style>
  <w:style w:type="paragraph" w:styleId="2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4">
    <w:name w:val="Title"/>
    <w:basedOn w:val="1"/>
    <w:next w:val="11"/>
    <w:qFormat/>
    <w:uiPriority w:val="0"/>
    <w:pPr>
      <w:spacing w:before="240" w:after="60"/>
      <w:jc w:val="center"/>
      <w:outlineLvl w:val="0"/>
    </w:pPr>
    <w:rPr>
      <w:rFonts w:ascii="Arial" w:hAnsi="Arial" w:cs="Arial"/>
      <w:b/>
      <w:bCs/>
      <w:sz w:val="32"/>
      <w:szCs w:val="32"/>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page number"/>
    <w:basedOn w:val="27"/>
    <w:qFormat/>
    <w:uiPriority w:val="0"/>
    <w:rPr>
      <w:rFonts w:cs="Times New Roman"/>
    </w:rPr>
  </w:style>
  <w:style w:type="character" w:styleId="30">
    <w:name w:val="Hyperlink"/>
    <w:basedOn w:val="27"/>
    <w:qFormat/>
    <w:uiPriority w:val="0"/>
    <w:rPr>
      <w:color w:val="0000FF"/>
      <w:u w:val="single"/>
    </w:rPr>
  </w:style>
  <w:style w:type="paragraph" w:customStyle="1" w:styleId="31">
    <w:name w:val="列出段落1"/>
    <w:basedOn w:val="1"/>
    <w:qFormat/>
    <w:uiPriority w:val="34"/>
    <w:pPr>
      <w:widowControl/>
      <w:adjustRightInd w:val="0"/>
      <w:snapToGrid w:val="0"/>
      <w:spacing w:after="200"/>
      <w:ind w:firstLine="420" w:firstLineChars="200"/>
      <w:jc w:val="left"/>
    </w:pPr>
    <w:rPr>
      <w:rFonts w:ascii="Tahoma" w:hAnsi="Tahoma" w:eastAsia="微软雅黑"/>
      <w:kern w:val="0"/>
      <w:sz w:val="22"/>
    </w:rPr>
  </w:style>
  <w:style w:type="paragraph" w:customStyle="1" w:styleId="32">
    <w:name w:val="List Paragraph"/>
    <w:basedOn w:val="1"/>
    <w:qFormat/>
    <w:uiPriority w:val="34"/>
    <w:pPr>
      <w:ind w:firstLine="420" w:firstLineChars="200"/>
    </w:pPr>
  </w:style>
  <w:style w:type="character" w:customStyle="1" w:styleId="33">
    <w:name w:val="无间隔 Char"/>
    <w:basedOn w:val="27"/>
    <w:link w:val="34"/>
    <w:qFormat/>
    <w:uiPriority w:val="0"/>
    <w:rPr>
      <w:rFonts w:hint="default" w:ascii="Times New Roman" w:hAnsi="Times New Roman" w:eastAsia="宋体"/>
      <w:sz w:val="22"/>
    </w:rPr>
  </w:style>
  <w:style w:type="paragraph" w:customStyle="1" w:styleId="34">
    <w:name w:val="No Spacing"/>
    <w:link w:val="33"/>
    <w:qFormat/>
    <w:uiPriority w:val="0"/>
    <w:rPr>
      <w:rFonts w:hint="default" w:ascii="Times New Roman" w:hAnsi="Times New Roman" w:eastAsia="宋体" w:cs="Times New Roman"/>
      <w:sz w:val="22"/>
    </w:rPr>
  </w:style>
  <w:style w:type="paragraph" w:customStyle="1" w:styleId="35">
    <w:name w:val="Table Paragraph"/>
    <w:basedOn w:val="1"/>
    <w:qFormat/>
    <w:uiPriority w:val="0"/>
  </w:style>
  <w:style w:type="paragraph" w:customStyle="1" w:styleId="36">
    <w:name w:val="WPSOffice手动目录 1"/>
    <w:qFormat/>
    <w:uiPriority w:val="0"/>
    <w:pPr>
      <w:ind w:leftChars="0"/>
    </w:pPr>
    <w:rPr>
      <w:rFonts w:ascii="Times New Roman" w:hAnsi="Times New Roman" w:eastAsia="宋体" w:cs="Times New Roman"/>
      <w:sz w:val="20"/>
      <w:szCs w:val="20"/>
    </w:rPr>
  </w:style>
  <w:style w:type="paragraph" w:customStyle="1" w:styleId="37">
    <w:name w:val="WPSOffice手动目录 2"/>
    <w:qFormat/>
    <w:uiPriority w:val="0"/>
    <w:pPr>
      <w:ind w:leftChars="200"/>
    </w:pPr>
    <w:rPr>
      <w:rFonts w:ascii="Times New Roman" w:hAnsi="Times New Roman" w:eastAsia="宋体" w:cs="Times New Roman"/>
      <w:sz w:val="20"/>
      <w:szCs w:val="20"/>
    </w:rPr>
  </w:style>
  <w:style w:type="paragraph" w:customStyle="1" w:styleId="38">
    <w:name w:val="Table Text"/>
    <w:basedOn w:val="1"/>
    <w:qFormat/>
    <w:uiPriority w:val="0"/>
    <w:rPr>
      <w:rFonts w:ascii="宋体" w:eastAsia="宋体" w:cs="宋体"/>
      <w:sz w:val="24"/>
      <w:szCs w:val="24"/>
      <w:lang w:val="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56.jpeg"/><Relationship Id="rId80" Type="http://schemas.openxmlformats.org/officeDocument/2006/relationships/image" Target="media/image55.jpeg"/><Relationship Id="rId8" Type="http://schemas.openxmlformats.org/officeDocument/2006/relationships/footer" Target="footer4.xml"/><Relationship Id="rId79" Type="http://schemas.openxmlformats.org/officeDocument/2006/relationships/image" Target="media/image54.jpeg"/><Relationship Id="rId78" Type="http://schemas.openxmlformats.org/officeDocument/2006/relationships/image" Target="media/image53.jpeg"/><Relationship Id="rId77" Type="http://schemas.openxmlformats.org/officeDocument/2006/relationships/image" Target="media/image52.jpeg"/><Relationship Id="rId76" Type="http://schemas.openxmlformats.org/officeDocument/2006/relationships/chart" Target="charts/chart2.xml"/><Relationship Id="rId75" Type="http://schemas.openxmlformats.org/officeDocument/2006/relationships/image" Target="media/image51.jpeg"/><Relationship Id="rId74" Type="http://schemas.openxmlformats.org/officeDocument/2006/relationships/image" Target="media/image50.jpeg"/><Relationship Id="rId73" Type="http://schemas.openxmlformats.org/officeDocument/2006/relationships/image" Target="media/image49.jpeg"/><Relationship Id="rId72" Type="http://schemas.openxmlformats.org/officeDocument/2006/relationships/image" Target="media/image48.jpeg"/><Relationship Id="rId71" Type="http://schemas.openxmlformats.org/officeDocument/2006/relationships/image" Target="media/image47.jpeg"/><Relationship Id="rId70" Type="http://schemas.openxmlformats.org/officeDocument/2006/relationships/image" Target="media/image46.png"/><Relationship Id="rId7" Type="http://schemas.openxmlformats.org/officeDocument/2006/relationships/footer" Target="footer3.xml"/><Relationship Id="rId69" Type="http://schemas.openxmlformats.org/officeDocument/2006/relationships/image" Target="media/image45.png"/><Relationship Id="rId68" Type="http://schemas.openxmlformats.org/officeDocument/2006/relationships/image" Target="media/image44.jpeg"/><Relationship Id="rId67" Type="http://schemas.openxmlformats.org/officeDocument/2006/relationships/image" Target="media/image43.jpeg"/><Relationship Id="rId66" Type="http://schemas.openxmlformats.org/officeDocument/2006/relationships/image" Target="media/image42.png"/><Relationship Id="rId65" Type="http://schemas.openxmlformats.org/officeDocument/2006/relationships/image" Target="media/image41.jpeg"/><Relationship Id="rId64" Type="http://schemas.openxmlformats.org/officeDocument/2006/relationships/image" Target="media/image40.jpeg"/><Relationship Id="rId63" Type="http://schemas.openxmlformats.org/officeDocument/2006/relationships/image" Target="media/image39.jpeg"/><Relationship Id="rId62" Type="http://schemas.openxmlformats.org/officeDocument/2006/relationships/image" Target="media/image38.jpeg"/><Relationship Id="rId61" Type="http://schemas.openxmlformats.org/officeDocument/2006/relationships/image" Target="media/image37.jpeg"/><Relationship Id="rId60" Type="http://schemas.openxmlformats.org/officeDocument/2006/relationships/image" Target="media/image36.png"/><Relationship Id="rId6" Type="http://schemas.openxmlformats.org/officeDocument/2006/relationships/footer" Target="footer2.xml"/><Relationship Id="rId59" Type="http://schemas.openxmlformats.org/officeDocument/2006/relationships/image" Target="media/image35.png"/><Relationship Id="rId58" Type="http://schemas.openxmlformats.org/officeDocument/2006/relationships/image" Target="media/image34.jpe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jpeg"/><Relationship Id="rId54" Type="http://schemas.openxmlformats.org/officeDocument/2006/relationships/image" Target="media/image30.jpeg"/><Relationship Id="rId53" Type="http://schemas.openxmlformats.org/officeDocument/2006/relationships/image" Target="media/image29.jpeg"/><Relationship Id="rId52" Type="http://schemas.openxmlformats.org/officeDocument/2006/relationships/image" Target="media/image28.jpeg"/><Relationship Id="rId51" Type="http://schemas.openxmlformats.org/officeDocument/2006/relationships/image" Target="media/image27.png"/><Relationship Id="rId50" Type="http://schemas.openxmlformats.org/officeDocument/2006/relationships/image" Target="media/image26.jpeg"/><Relationship Id="rId5" Type="http://schemas.openxmlformats.org/officeDocument/2006/relationships/footer" Target="footer1.xml"/><Relationship Id="rId49" Type="http://schemas.openxmlformats.org/officeDocument/2006/relationships/image" Target="media/image25.jpeg"/><Relationship Id="rId48" Type="http://schemas.openxmlformats.org/officeDocument/2006/relationships/image" Target="media/image24.jpeg"/><Relationship Id="rId47" Type="http://schemas.openxmlformats.org/officeDocument/2006/relationships/image" Target="media/image23.jpe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https://mmbiz.qpic.cn/mmbiz_png/sqdmXaVX9kvFBApNIS6aaE18L6b5edIrnlw0pFZll66C6uPDH8ymOClolwIju0KLZCPs6tzJNFqtK1ZemNw2Hg/640?wx_fmt=png%25252525252525252525252525252526tp=wxpic%25252525252525252525252525252526wxfrom=5%25252525252525252525252525252526wx_lazy=1%25252525252525252525252525252526wx_co=1" TargetMode="External"/><Relationship Id="rId43" Type="http://schemas.openxmlformats.org/officeDocument/2006/relationships/image" Target="media/image20.png"/><Relationship Id="rId42" Type="http://schemas.openxmlformats.org/officeDocument/2006/relationships/image" Target="https://mmbiz.qpic.cn/mmbiz_png/sqdmXaVX9kvFBApNIS6aaE18L6b5edIrYmfS8qInAibhSOWrpP0TlFicbfWY2Oiagb3icJf5vp5ibqX1Hjliaymib0cIg/640?wx_fmt=png%252525252525252525252525252526tp=wxpic%252525252525252525252525252526wxfrom=5%252525252525252525252525252526wx_lazy=1%252525252525252525252525252526wx_co=1" TargetMode="External"/><Relationship Id="rId41" Type="http://schemas.openxmlformats.org/officeDocument/2006/relationships/image" Target="media/image19.png"/><Relationship Id="rId40" Type="http://schemas.openxmlformats.org/officeDocument/2006/relationships/image" Target="https://mmbiz.qpic.cn/mmbiz_jpg/sqdmXaVX9kvFBApNIS6aaE18L6b5edIrPU7AGWYtuVDz9SLpvxrCV3zyEYGakWMOtDZh9DXZgqfnZkKxkaOaog/640?wx_fmt=jpeg%252525252525252525252525252526tp=wxpic%252525252525252525252525252526wxfrom=5%252525252525252525252525252526wx_lazy=1%252525252525252525252525252526wx_co=1" TargetMode="External"/><Relationship Id="rId4" Type="http://schemas.openxmlformats.org/officeDocument/2006/relationships/header" Target="header2.xml"/><Relationship Id="rId39" Type="http://schemas.openxmlformats.org/officeDocument/2006/relationships/image" Target="media/image18.jpeg"/><Relationship Id="rId38" Type="http://schemas.openxmlformats.org/officeDocument/2006/relationships/image" Target="https://mmbiz.qpic.cn/mmbiz_jpg/sqdmXaVX9ktHZAD4vsyibVaPdrPaZxicPO6XB311srrFTdJyp5SNwtctyMkxP0ibqNdLCwnoPlpeH3y2xuwneAuDg/640?wx_fmt=jpeg%252525252525252525252525252526tp=wxpic%252525252525252525252525252526wxfrom=5%252525252525252525252525252526wx_lazy=1%252525252525252525252525252526wx_co=1" TargetMode="External"/><Relationship Id="rId37" Type="http://schemas.openxmlformats.org/officeDocument/2006/relationships/image" Target="media/image17.jpeg"/><Relationship Id="rId36" Type="http://schemas.openxmlformats.org/officeDocument/2006/relationships/image" Target="media/image16.jpeg"/><Relationship Id="rId35" Type="http://schemas.openxmlformats.org/officeDocument/2006/relationships/image" Target="media/image15.png"/><Relationship Id="rId34" Type="http://schemas.openxmlformats.org/officeDocument/2006/relationships/image" Target="https://mmbiz.qpic.cn/mmbiz_jpg/sqdmXaVX9kt0HPoBSSLBRKTyyXM3iaAEPSWKnL40zBPHuQMPWFTzFiciaRXPSgLibwqCm1gTaibDwq91ozBapS0aqfA/640?wx_fmt=jpeg%252525252525252525252525252525252526tp=wxpic%252525252525252525252525252525252526wxfrom=5%252525252525252525252525252525252526wx_lazy=1%252525252525252525252525252525252526wx_co=1" TargetMode="External"/><Relationship Id="rId33" Type="http://schemas.openxmlformats.org/officeDocument/2006/relationships/image" Target="media/image14.jpeg"/><Relationship Id="rId32" Type="http://schemas.openxmlformats.org/officeDocument/2006/relationships/image" Target="media/image13.png"/><Relationship Id="rId31" Type="http://schemas.openxmlformats.org/officeDocument/2006/relationships/image" Target="media/image12.jpeg"/><Relationship Id="rId30" Type="http://schemas.openxmlformats.org/officeDocument/2006/relationships/image" Target="media/image11.jpeg"/><Relationship Id="rId3" Type="http://schemas.openxmlformats.org/officeDocument/2006/relationships/header" Target="header1.xml"/><Relationship Id="rId29" Type="http://schemas.openxmlformats.org/officeDocument/2006/relationships/image" Target="media/image10.jpeg"/><Relationship Id="rId28" Type="http://schemas.openxmlformats.org/officeDocument/2006/relationships/image" Target="media/image9.jpeg"/><Relationship Id="rId27" Type="http://schemas.openxmlformats.org/officeDocument/2006/relationships/image" Target="media/image8.png"/><Relationship Id="rId26" Type="http://schemas.openxmlformats.org/officeDocument/2006/relationships/image" Target="https://mmbiz.qpic.cn/mmbiz_jpg/sqdmXaVX9kt0HPoBSSLBRKTyyXM3iaAEPdtJibT9mpcglp2C7XQJiboeUtybSBaAuLIvd0icZszibWbRehNBQN44ic5g/640?wx_fmt=jpeg%252525252525252525252525252526tp=wxpic%252525252525252525252525252526wxfrom=5%252525252525252525252525252526wx_lazy=1%252525252525252525252525252526wx_co=1" TargetMode="External"/><Relationship Id="rId25" Type="http://schemas.openxmlformats.org/officeDocument/2006/relationships/image" Target="media/image7.jpeg"/><Relationship Id="rId24" Type="http://schemas.openxmlformats.org/officeDocument/2006/relationships/image" Target="https://mmbiz.qpic.cn/mmbiz_jpg/sqdmXaVX9kt0HPoBSSLBRKTyyXM3iaAEPn5FXnZbIRs0CCCrdnia0HPicVou0gZAV1iaCicnZSxYoac3X2CChAqjv9Q/640?wx_fmt=jpeg%252525252525252525252525252526tp=wxpic%252525252525252525252525252526wxfrom=5%252525252525252525252525252526wx_lazy=1%252525252525252525252525252526wx_co=1" TargetMode="External"/><Relationship Id="rId23" Type="http://schemas.openxmlformats.org/officeDocument/2006/relationships/image" Target="media/image6.jpe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chart" Target="charts/chart1.xml"/><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1.png"/><Relationship Id="rId17" Type="http://schemas.openxmlformats.org/officeDocument/2006/relationships/image" Target="media/image2.jpeg"/><Relationship Id="rId16" Type="http://schemas.openxmlformats.org/officeDocument/2006/relationships/theme" Target="theme/theme1.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esktop\&#26032;&#24314;&#25991;&#20214;&#22841;\Normal.wpt"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75000"/>
                    <a:lumOff val="25000"/>
                  </a:schemeClr>
                </a:solidFill>
                <a:latin typeface="+mn-lt"/>
                <a:ea typeface="+mn-ea"/>
                <a:cs typeface="+mn-cs"/>
              </a:defRPr>
            </a:pPr>
            <a:r>
              <a:t>专业构成</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Pt>
            <c:idx val="7"/>
            <c:bubble3D val="0"/>
            <c:spPr>
              <a:solidFill>
                <a:schemeClr val="accent2">
                  <a:lumMod val="60000"/>
                </a:schemeClr>
              </a:solidFill>
              <a:ln>
                <a:noFill/>
              </a:ln>
              <a:effectLst>
                <a:outerShdw blurRad="254000" sx="102000" sy="102000" algn="ctr" rotWithShape="0">
                  <a:prstClr val="black">
                    <a:alpha val="20000"/>
                  </a:prstClr>
                </a:outerShdw>
              </a:effectLst>
            </c:spPr>
          </c:dPt>
          <c:dPt>
            <c:idx val="8"/>
            <c:bubble3D val="0"/>
            <c:spPr>
              <a:solidFill>
                <a:schemeClr val="accent3">
                  <a:lumMod val="60000"/>
                </a:schemeClr>
              </a:solidFill>
              <a:ln>
                <a:noFill/>
              </a:ln>
              <a:effectLst>
                <a:outerShdw blurRad="254000" sx="102000" sy="102000" algn="ctr" rotWithShape="0">
                  <a:prstClr val="black">
                    <a:alpha val="20000"/>
                  </a:prstClr>
                </a:outerShdw>
              </a:effectLst>
            </c:spPr>
          </c:dPt>
          <c:dPt>
            <c:idx val="9"/>
            <c:bubble3D val="0"/>
            <c:spPr>
              <a:solidFill>
                <a:schemeClr val="accent4">
                  <a:lumMod val="60000"/>
                </a:schemeClr>
              </a:solidFill>
              <a:ln>
                <a:noFill/>
              </a:ln>
              <a:effectLst>
                <a:outerShdw blurRad="254000" sx="102000" sy="102000" algn="ctr" rotWithShape="0">
                  <a:prstClr val="black">
                    <a:alpha val="20000"/>
                  </a:prstClr>
                </a:outerShdw>
              </a:effectLst>
            </c:spPr>
          </c:dPt>
          <c:dPt>
            <c:idx val="10"/>
            <c:bubble3D val="0"/>
            <c:spPr>
              <a:solidFill>
                <a:schemeClr val="accent5">
                  <a:lumMod val="60000"/>
                </a:schemeClr>
              </a:solidFill>
              <a:ln>
                <a:noFill/>
              </a:ln>
              <a:effectLst>
                <a:outerShdw blurRad="254000" sx="102000" sy="102000" algn="ctr" rotWithShape="0">
                  <a:prstClr val="black">
                    <a:alpha val="20000"/>
                  </a:prstClr>
                </a:outerShdw>
              </a:effectLst>
            </c:spPr>
          </c:dPt>
          <c:dPt>
            <c:idx val="11"/>
            <c:bubble3D val="0"/>
            <c:spPr>
              <a:solidFill>
                <a:schemeClr val="accent6">
                  <a:lumMod val="60000"/>
                </a:schemeClr>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[工作簿1]Sheet1!$A$1:$L$1</c:f>
              <c:strCache>
                <c:ptCount val="12"/>
                <c:pt idx="0">
                  <c:v>农业设备应用与维修</c:v>
                </c:pt>
                <c:pt idx="1">
                  <c:v>计算机应用</c:v>
                </c:pt>
                <c:pt idx="2">
                  <c:v>航空服务</c:v>
                </c:pt>
                <c:pt idx="3">
                  <c:v>作物生产技术</c:v>
                </c:pt>
                <c:pt idx="4">
                  <c:v>林业生产技术</c:v>
                </c:pt>
                <c:pt idx="5">
                  <c:v>幼儿保育</c:v>
                </c:pt>
                <c:pt idx="6">
                  <c:v>会计事务</c:v>
                </c:pt>
                <c:pt idx="7">
                  <c:v>汽车运用与维修</c:v>
                </c:pt>
                <c:pt idx="8">
                  <c:v>社会文化艺术</c:v>
                </c:pt>
                <c:pt idx="9">
                  <c:v>大数据技术应用</c:v>
                </c:pt>
                <c:pt idx="10">
                  <c:v>电子技术应用</c:v>
                </c:pt>
                <c:pt idx="11">
                  <c:v>护理</c:v>
                </c:pt>
              </c:strCache>
            </c:strRef>
          </c:cat>
          <c:val>
            <c:numRef>
              <c:f>[工作簿1]Sheet1!$A$2:$L$2</c:f>
              <c:numCache>
                <c:formatCode>General</c:formatCode>
                <c:ptCount val="12"/>
                <c:pt idx="0">
                  <c:v>18</c:v>
                </c:pt>
                <c:pt idx="1">
                  <c:v>16</c:v>
                </c:pt>
                <c:pt idx="2">
                  <c:v>11</c:v>
                </c:pt>
                <c:pt idx="3">
                  <c:v>8</c:v>
                </c:pt>
                <c:pt idx="4">
                  <c:v>6</c:v>
                </c:pt>
                <c:pt idx="5">
                  <c:v>5</c:v>
                </c:pt>
                <c:pt idx="6">
                  <c:v>3</c:v>
                </c:pt>
                <c:pt idx="7">
                  <c:v>2</c:v>
                </c:pt>
                <c:pt idx="8">
                  <c:v>8</c:v>
                </c:pt>
                <c:pt idx="9">
                  <c:v>14</c:v>
                </c:pt>
                <c:pt idx="10">
                  <c:v>4</c:v>
                </c:pt>
                <c:pt idx="11">
                  <c:v>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ltLang="en-US"/>
              <a:t>政府投入支持稳中有增</a:t>
            </a:r>
            <a:endParaRPr lang="en-US" altLang="zh-CN"/>
          </a:p>
        </c:rich>
      </c:tx>
      <c:layout/>
      <c:overlay val="0"/>
      <c:spPr>
        <a:noFill/>
        <a:ln>
          <a:noFill/>
        </a:ln>
        <a:effectLst/>
      </c:spPr>
    </c:title>
    <c:autoTitleDeleted val="0"/>
    <c:plotArea>
      <c:layout/>
      <c:barChart>
        <c:barDir val="col"/>
        <c:grouping val="clustered"/>
        <c:varyColors val="0"/>
        <c:ser>
          <c:idx val="0"/>
          <c:order val="0"/>
          <c:tx>
            <c:strRef>
              <c:f>[工作簿1]Sheet1!$B$1</c:f>
              <c:strCache>
                <c:ptCount val="1"/>
                <c:pt idx="0">
                  <c:v>2023</c:v>
                </c:pt>
              </c:strCache>
            </c:strRef>
          </c:tx>
          <c:spPr>
            <a:solidFill>
              <a:schemeClr val="accent1"/>
            </a:solidFill>
            <a:ln>
              <a:noFill/>
            </a:ln>
            <a:effectLst/>
          </c:spPr>
          <c:invertIfNegative val="0"/>
          <c:dLbls>
            <c:delete val="1"/>
          </c:dLbls>
          <c:cat>
            <c:strRef>
              <c:f>[工作簿1]Sheet1!$A$2:$A$5</c:f>
              <c:strCache>
                <c:ptCount val="4"/>
                <c:pt idx="0">
                  <c:v>本级财政落实免学费配套资金额度</c:v>
                </c:pt>
                <c:pt idx="1">
                  <c:v>本级财政其它拨款</c:v>
                </c:pt>
                <c:pt idx="2">
                  <c:v>年度本级财政落实生均公用经费配套资金额度</c:v>
                </c:pt>
                <c:pt idx="3">
                  <c:v>固定资产</c:v>
                </c:pt>
              </c:strCache>
            </c:strRef>
          </c:cat>
          <c:val>
            <c:numRef>
              <c:f>[工作簿1]Sheet1!$B$2:$B$5</c:f>
              <c:numCache>
                <c:formatCode>General</c:formatCode>
                <c:ptCount val="4"/>
                <c:pt idx="0">
                  <c:v>276.8</c:v>
                </c:pt>
                <c:pt idx="1">
                  <c:v>4799.6</c:v>
                </c:pt>
                <c:pt idx="2">
                  <c:v>276.8</c:v>
                </c:pt>
                <c:pt idx="3">
                  <c:v>6720.22</c:v>
                </c:pt>
              </c:numCache>
            </c:numRef>
          </c:val>
        </c:ser>
        <c:ser>
          <c:idx val="1"/>
          <c:order val="1"/>
          <c:tx>
            <c:strRef>
              <c:f>[工作簿1]Sheet1!$C$1</c:f>
              <c:strCache>
                <c:ptCount val="1"/>
                <c:pt idx="0">
                  <c:v>2022</c:v>
                </c:pt>
              </c:strCache>
            </c:strRef>
          </c:tx>
          <c:spPr>
            <a:solidFill>
              <a:schemeClr val="accent2"/>
            </a:solidFill>
            <a:ln>
              <a:noFill/>
            </a:ln>
            <a:effectLst/>
          </c:spPr>
          <c:invertIfNegative val="0"/>
          <c:dLbls>
            <c:delete val="1"/>
          </c:dLbls>
          <c:cat>
            <c:strRef>
              <c:f>[工作簿1]Sheet1!$A$2:$A$5</c:f>
              <c:strCache>
                <c:ptCount val="4"/>
                <c:pt idx="0">
                  <c:v>本级财政落实免学费配套资金额度</c:v>
                </c:pt>
                <c:pt idx="1">
                  <c:v>本级财政其它拨款</c:v>
                </c:pt>
                <c:pt idx="2">
                  <c:v>年度本级财政落实生均公用经费配套资金额度</c:v>
                </c:pt>
                <c:pt idx="3">
                  <c:v>固定资产</c:v>
                </c:pt>
              </c:strCache>
            </c:strRef>
          </c:cat>
          <c:val>
            <c:numRef>
              <c:f>[工作簿1]Sheet1!$C$2:$C$5</c:f>
              <c:numCache>
                <c:formatCode>General</c:formatCode>
                <c:ptCount val="4"/>
                <c:pt idx="0">
                  <c:v>281.68</c:v>
                </c:pt>
                <c:pt idx="1">
                  <c:v>4184.3</c:v>
                </c:pt>
                <c:pt idx="2">
                  <c:v>374.1</c:v>
                </c:pt>
                <c:pt idx="3">
                  <c:v>6375.11</c:v>
                </c:pt>
              </c:numCache>
            </c:numRef>
          </c:val>
        </c:ser>
        <c:dLbls>
          <c:showLegendKey val="0"/>
          <c:showVal val="0"/>
          <c:showCatName val="0"/>
          <c:showSerName val="0"/>
          <c:showPercent val="0"/>
          <c:showBubbleSize val="0"/>
        </c:dLbls>
        <c:gapWidth val="219"/>
        <c:overlap val="-27"/>
        <c:axId val="652563189"/>
        <c:axId val="901828916"/>
      </c:barChart>
      <c:catAx>
        <c:axId val="65256318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1828916"/>
        <c:crosses val="autoZero"/>
        <c:auto val="1"/>
        <c:lblAlgn val="ctr"/>
        <c:lblOffset val="100"/>
        <c:noMultiLvlLbl val="0"/>
      </c:catAx>
      <c:valAx>
        <c:axId val="9018289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256318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格纹型"/>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13961</Words>
  <Characters>14579</Characters>
  <Lines>0</Lines>
  <Paragraphs>0</Paragraphs>
  <TotalTime>2</TotalTime>
  <ScaleCrop>false</ScaleCrop>
  <LinksUpToDate>false</LinksUpToDate>
  <CharactersWithSpaces>15156</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那个谁</cp:lastModifiedBy>
  <dcterms:modified xsi:type="dcterms:W3CDTF">2025-01-09T07:02:26Z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6D8CA7AFA235433CB2CA747D09C462CF</vt:lpwstr>
  </property>
</Properties>
</file>